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0366D692"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565876" w:rsidRPr="00565876">
        <w:rPr>
          <w:rFonts w:ascii="Arial" w:eastAsia="Batang" w:hAnsi="Arial" w:cs="Arial"/>
          <w:b/>
          <w:bCs/>
          <w:szCs w:val="22"/>
        </w:rPr>
        <w:t>R1-1906845</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44FF932" w:rsidR="00855F39" w:rsidRPr="00074926" w:rsidRDefault="00A4293C"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A155A6">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70DAAD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A155A6" w:rsidRPr="00A155A6">
        <w:rPr>
          <w:b/>
          <w:color w:val="000000"/>
          <w:lang w:val="en-US"/>
        </w:rPr>
        <w:t>Remaining issues in PUR</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2F28265"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7D07F1">
        <w:rPr>
          <w:rFonts w:eastAsia="MS Mincho"/>
          <w:lang w:val="en-US"/>
        </w:rPr>
        <w:t>made the following working assumption and agreements</w:t>
      </w:r>
      <w:r w:rsidR="00AA5907">
        <w:rPr>
          <w:rFonts w:eastAsia="MS Mincho"/>
          <w:lang w:val="en-US"/>
        </w:rPr>
        <w:t>:</w:t>
      </w:r>
    </w:p>
    <w:p w14:paraId="7CDA840F" w14:textId="77777777" w:rsidR="001F0A3A" w:rsidRPr="001F0A3A" w:rsidRDefault="001F0A3A" w:rsidP="001F0A3A">
      <w:pPr>
        <w:pStyle w:val="PropObs"/>
        <w:numPr>
          <w:ilvl w:val="0"/>
          <w:numId w:val="0"/>
        </w:numPr>
        <w:ind w:left="720"/>
        <w:rPr>
          <w:rFonts w:ascii="Times New Roman" w:hAnsi="Times New Roman"/>
          <w:i/>
          <w:highlight w:val="darkYellow"/>
        </w:rPr>
      </w:pPr>
      <w:r w:rsidRPr="001F0A3A">
        <w:rPr>
          <w:rFonts w:ascii="Times New Roman" w:hAnsi="Times New Roman"/>
          <w:i/>
          <w:highlight w:val="darkYellow"/>
        </w:rPr>
        <w:t>Working Assumption#1</w:t>
      </w:r>
    </w:p>
    <w:p w14:paraId="66092843" w14:textId="77777777" w:rsidR="001F0A3A" w:rsidRPr="001F0A3A" w:rsidRDefault="001F0A3A" w:rsidP="001F0A3A">
      <w:pPr>
        <w:pStyle w:val="PropObs"/>
        <w:numPr>
          <w:ilvl w:val="0"/>
          <w:numId w:val="0"/>
        </w:numPr>
        <w:ind w:left="720"/>
        <w:rPr>
          <w:rFonts w:ascii="Times New Roman" w:hAnsi="Times New Roman"/>
          <w:b w:val="0"/>
          <w:i/>
        </w:rPr>
      </w:pPr>
      <w:r w:rsidRPr="001F0A3A">
        <w:rPr>
          <w:rFonts w:ascii="Times New Roman" w:hAnsi="Times New Roman"/>
          <w:b w:val="0"/>
          <w:i/>
        </w:rPr>
        <w:t>In idle mode, updating PUR configurations and/or PUR parameters via L1 signalling after a PUR transmission is supported</w:t>
      </w:r>
    </w:p>
    <w:p w14:paraId="085A7313"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Which PUR configurations and PUR parameters will be signaled via L1</w:t>
      </w:r>
    </w:p>
    <w:p w14:paraId="10FD667D"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Definition of PUR configurations and PUR parameters</w:t>
      </w:r>
    </w:p>
    <w:p w14:paraId="645180EE" w14:textId="77777777" w:rsidR="001F0A3A" w:rsidRPr="001F0A3A" w:rsidRDefault="001F0A3A" w:rsidP="001F0A3A">
      <w:pPr>
        <w:pStyle w:val="ListBullet"/>
        <w:widowControl/>
        <w:numPr>
          <w:ilvl w:val="0"/>
          <w:numId w:val="0"/>
        </w:numPr>
        <w:ind w:left="720"/>
        <w:contextualSpacing/>
        <w:jc w:val="left"/>
        <w:rPr>
          <w:rFonts w:eastAsia="Batang"/>
          <w:i/>
        </w:rPr>
      </w:pPr>
      <w:r w:rsidRPr="001F0A3A">
        <w:rPr>
          <w:rFonts w:eastAsia="Batang"/>
          <w:i/>
        </w:rPr>
        <w:t>The working assumption will be automatically confirmed if for some cases L2/L3 signaling is not needed. If RAN2 decides that L2/L3 signaling is needed for all cases, the working assumption will be reverted.</w:t>
      </w:r>
    </w:p>
    <w:p w14:paraId="25CC1B28" w14:textId="77777777" w:rsidR="001F0A3A" w:rsidRPr="001F0A3A" w:rsidRDefault="001F0A3A" w:rsidP="001F0A3A">
      <w:pPr>
        <w:ind w:left="720"/>
        <w:rPr>
          <w:i/>
          <w:lang w:val="en-US" w:eastAsia="x-none"/>
        </w:rPr>
      </w:pPr>
    </w:p>
    <w:p w14:paraId="223A8834" w14:textId="77777777" w:rsidR="001F0A3A" w:rsidRPr="001F0A3A" w:rsidRDefault="001F0A3A" w:rsidP="001F0A3A">
      <w:pPr>
        <w:pStyle w:val="PropObs"/>
        <w:numPr>
          <w:ilvl w:val="0"/>
          <w:numId w:val="0"/>
        </w:numPr>
        <w:ind w:left="720"/>
        <w:rPr>
          <w:rFonts w:ascii="Times New Roman" w:hAnsi="Times New Roman"/>
          <w:i/>
          <w:highlight w:val="darkYellow"/>
        </w:rPr>
      </w:pPr>
      <w:r w:rsidRPr="001F0A3A">
        <w:rPr>
          <w:rFonts w:ascii="Times New Roman" w:hAnsi="Times New Roman"/>
          <w:i/>
          <w:highlight w:val="darkYellow"/>
        </w:rPr>
        <w:t>Working Assumption#2</w:t>
      </w:r>
    </w:p>
    <w:p w14:paraId="3A87EEFC" w14:textId="77777777" w:rsidR="001F0A3A" w:rsidRPr="001F0A3A" w:rsidRDefault="001F0A3A" w:rsidP="001F0A3A">
      <w:pPr>
        <w:pStyle w:val="ListBullet"/>
        <w:widowControl/>
        <w:numPr>
          <w:ilvl w:val="0"/>
          <w:numId w:val="0"/>
        </w:numPr>
        <w:ind w:left="720"/>
        <w:contextualSpacing/>
        <w:jc w:val="left"/>
        <w:rPr>
          <w:rFonts w:eastAsia="Batang"/>
          <w:i/>
        </w:rPr>
      </w:pPr>
      <w:r w:rsidRPr="001F0A3A">
        <w:rPr>
          <w:rFonts w:eastAsia="Batang"/>
          <w:i/>
        </w:rPr>
        <w:t>For dedicated PUR</w:t>
      </w:r>
    </w:p>
    <w:p w14:paraId="0BE806F4"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During the PUR search space monitoring, the UE monitors for DCI scrambled with a RNTI assuming that the RNTI is not shared with any other UE</w:t>
      </w:r>
    </w:p>
    <w:p w14:paraId="5F5F641A" w14:textId="77777777" w:rsidR="001F0A3A" w:rsidRPr="001F0A3A" w:rsidRDefault="001F0A3A" w:rsidP="001F0A3A">
      <w:pPr>
        <w:pStyle w:val="ListParagraph"/>
        <w:numPr>
          <w:ilvl w:val="1"/>
          <w:numId w:val="7"/>
        </w:numPr>
        <w:spacing w:after="0" w:line="259" w:lineRule="auto"/>
        <w:ind w:left="2160"/>
        <w:contextualSpacing w:val="0"/>
        <w:rPr>
          <w:rFonts w:eastAsia="Times New Roman"/>
          <w:i/>
        </w:rPr>
      </w:pPr>
      <w:r w:rsidRPr="001F0A3A">
        <w:rPr>
          <w:rFonts w:eastAsia="Times New Roman"/>
          <w:i/>
        </w:rPr>
        <w:t>Note: It is up to RAN2 to decide how the RNTI is signaled to UE or derived</w:t>
      </w:r>
    </w:p>
    <w:p w14:paraId="699032C1"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if the UE monitors any additional RNTI which may be shared with other UEs.</w:t>
      </w:r>
    </w:p>
    <w:p w14:paraId="5BF7F2E0"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Note: The same RNTI may be used over non-overlapping time and/or frequency resources</w:t>
      </w:r>
    </w:p>
    <w:p w14:paraId="522D5045" w14:textId="77777777" w:rsidR="001F0A3A" w:rsidRPr="001F0A3A" w:rsidRDefault="001F0A3A" w:rsidP="001F0A3A">
      <w:pPr>
        <w:pStyle w:val="ListBullet"/>
        <w:numPr>
          <w:ilvl w:val="0"/>
          <w:numId w:val="0"/>
        </w:numPr>
        <w:ind w:left="720"/>
        <w:rPr>
          <w:i/>
        </w:rPr>
      </w:pPr>
      <w:r w:rsidRPr="001F0A3A">
        <w:rPr>
          <w:i/>
        </w:rPr>
        <w:t>Send an LS to RAN2 to include two above working assumptions. Ask whether the first bullet in working assumption #2 is feasible. If it is concluded that working assumption #2 feasible, the working assumption #2 will be automatically confirmed.</w:t>
      </w:r>
    </w:p>
    <w:p w14:paraId="0D9EF304" w14:textId="77777777" w:rsidR="004D49B6" w:rsidRPr="001F0A3A" w:rsidRDefault="004D49B6" w:rsidP="001F0A3A">
      <w:pPr>
        <w:ind w:left="720"/>
        <w:rPr>
          <w:rFonts w:eastAsia="MS Mincho"/>
          <w:i/>
          <w:lang w:val="en-US"/>
        </w:rPr>
      </w:pPr>
    </w:p>
    <w:p w14:paraId="7C660CAF" w14:textId="77777777" w:rsidR="001F0A3A" w:rsidRPr="001F0A3A" w:rsidRDefault="001F0A3A" w:rsidP="001F0A3A">
      <w:pPr>
        <w:pStyle w:val="PropObs"/>
        <w:numPr>
          <w:ilvl w:val="0"/>
          <w:numId w:val="0"/>
        </w:numPr>
        <w:tabs>
          <w:tab w:val="left" w:pos="1620"/>
        </w:tabs>
        <w:ind w:left="1080" w:hanging="360"/>
        <w:rPr>
          <w:rFonts w:ascii="Times New Roman" w:hAnsi="Times New Roman"/>
          <w:i/>
          <w:highlight w:val="green"/>
        </w:rPr>
      </w:pPr>
      <w:r w:rsidRPr="001F0A3A">
        <w:rPr>
          <w:rFonts w:ascii="Times New Roman" w:hAnsi="Times New Roman"/>
          <w:i/>
          <w:highlight w:val="green"/>
        </w:rPr>
        <w:t>Agreement</w:t>
      </w:r>
    </w:p>
    <w:p w14:paraId="72019579" w14:textId="77777777" w:rsidR="001F0A3A" w:rsidRPr="001F0A3A" w:rsidRDefault="001F0A3A" w:rsidP="001F0A3A">
      <w:pPr>
        <w:pStyle w:val="PropObs"/>
        <w:numPr>
          <w:ilvl w:val="0"/>
          <w:numId w:val="0"/>
        </w:numPr>
        <w:tabs>
          <w:tab w:val="left" w:pos="1620"/>
        </w:tabs>
        <w:ind w:left="1080" w:hanging="360"/>
        <w:rPr>
          <w:rFonts w:ascii="Times New Roman" w:hAnsi="Times New Roman"/>
          <w:b w:val="0"/>
          <w:i/>
        </w:rPr>
      </w:pPr>
      <w:r w:rsidRPr="001F0A3A">
        <w:rPr>
          <w:rFonts w:ascii="Times New Roman" w:hAnsi="Times New Roman"/>
          <w:b w:val="0"/>
          <w:i/>
        </w:rPr>
        <w:t xml:space="preserve">The UE monitors the MPDCCH for at least a time period after a PUR transmission </w:t>
      </w:r>
    </w:p>
    <w:p w14:paraId="41D0458F"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Details of the time period</w:t>
      </w:r>
    </w:p>
    <w:p w14:paraId="6E094980"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UE behaviour if nothing is received in the time period</w:t>
      </w:r>
    </w:p>
    <w:p w14:paraId="7555A96F"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FFS: If and how often UE monitors MPDCCH after a PUR allocation in which it has not transmitted</w:t>
      </w:r>
    </w:p>
    <w:p w14:paraId="725203ED" w14:textId="77777777" w:rsidR="001F0A3A" w:rsidRPr="001F0A3A" w:rsidRDefault="001F0A3A" w:rsidP="001F0A3A">
      <w:pPr>
        <w:ind w:left="720"/>
        <w:rPr>
          <w:i/>
          <w:lang w:val="en-US" w:eastAsia="x-none"/>
        </w:rPr>
      </w:pPr>
    </w:p>
    <w:p w14:paraId="4F6D9DFF" w14:textId="77777777" w:rsidR="001F0A3A" w:rsidRPr="001F0A3A" w:rsidRDefault="001F0A3A" w:rsidP="001F0A3A">
      <w:pPr>
        <w:pStyle w:val="PropObs"/>
        <w:numPr>
          <w:ilvl w:val="0"/>
          <w:numId w:val="0"/>
        </w:numPr>
        <w:tabs>
          <w:tab w:val="left" w:pos="1620"/>
        </w:tabs>
        <w:ind w:left="1080" w:hanging="360"/>
        <w:rPr>
          <w:rFonts w:ascii="Times New Roman" w:hAnsi="Times New Roman"/>
          <w:i/>
          <w:highlight w:val="green"/>
        </w:rPr>
      </w:pPr>
      <w:r w:rsidRPr="001F0A3A">
        <w:rPr>
          <w:rFonts w:ascii="Times New Roman" w:hAnsi="Times New Roman"/>
          <w:i/>
          <w:highlight w:val="green"/>
        </w:rPr>
        <w:t>Agreement</w:t>
      </w:r>
    </w:p>
    <w:p w14:paraId="3B532610" w14:textId="77777777" w:rsidR="001F0A3A" w:rsidRPr="001F0A3A" w:rsidRDefault="001F0A3A" w:rsidP="001F0A3A">
      <w:pPr>
        <w:ind w:left="720"/>
        <w:rPr>
          <w:i/>
          <w:sz w:val="36"/>
          <w:lang w:val="en-US" w:eastAsia="x-none"/>
        </w:rPr>
      </w:pPr>
      <w:r w:rsidRPr="001F0A3A">
        <w:rPr>
          <w:i/>
        </w:rPr>
        <w:t xml:space="preserve">The value(s) of </w:t>
      </w:r>
      <w:r w:rsidRPr="001F0A3A">
        <w:rPr>
          <w:bCs/>
          <w:i/>
        </w:rPr>
        <w:t>RSRP</w:t>
      </w:r>
      <w:r w:rsidRPr="001F0A3A">
        <w:rPr>
          <w:i/>
        </w:rPr>
        <w:t xml:space="preserve"> threshold(s) is UE specific</w:t>
      </w:r>
    </w:p>
    <w:p w14:paraId="7FE81943" w14:textId="77777777" w:rsidR="001F0A3A" w:rsidRPr="001F0A3A" w:rsidRDefault="001F0A3A" w:rsidP="001F0A3A">
      <w:pPr>
        <w:ind w:left="720"/>
        <w:rPr>
          <w:i/>
          <w:lang w:eastAsia="x-none"/>
        </w:rPr>
      </w:pPr>
    </w:p>
    <w:p w14:paraId="061E1D4C" w14:textId="77777777" w:rsidR="001F0A3A" w:rsidRPr="001F0A3A" w:rsidRDefault="001F0A3A" w:rsidP="001F0A3A">
      <w:pPr>
        <w:pStyle w:val="PropObs"/>
        <w:numPr>
          <w:ilvl w:val="0"/>
          <w:numId w:val="0"/>
        </w:numPr>
        <w:tabs>
          <w:tab w:val="left" w:pos="1620"/>
        </w:tabs>
        <w:ind w:left="1080" w:hanging="360"/>
        <w:rPr>
          <w:rFonts w:ascii="Times New Roman" w:hAnsi="Times New Roman"/>
          <w:i/>
          <w:highlight w:val="green"/>
        </w:rPr>
      </w:pPr>
      <w:r w:rsidRPr="001F0A3A">
        <w:rPr>
          <w:rFonts w:ascii="Times New Roman" w:hAnsi="Times New Roman"/>
          <w:i/>
          <w:highlight w:val="green"/>
        </w:rPr>
        <w:t>Agreement</w:t>
      </w:r>
    </w:p>
    <w:p w14:paraId="4C56AD1F" w14:textId="77777777" w:rsidR="001F0A3A" w:rsidRPr="001F0A3A" w:rsidRDefault="001F0A3A" w:rsidP="001F0A3A">
      <w:pPr>
        <w:pStyle w:val="PropObs"/>
        <w:numPr>
          <w:ilvl w:val="0"/>
          <w:numId w:val="0"/>
        </w:numPr>
        <w:tabs>
          <w:tab w:val="left" w:pos="1620"/>
        </w:tabs>
        <w:ind w:left="720"/>
        <w:rPr>
          <w:rFonts w:ascii="Times New Roman" w:hAnsi="Times New Roman"/>
          <w:b w:val="0"/>
          <w:i/>
        </w:rPr>
      </w:pPr>
      <w:r w:rsidRPr="001F0A3A">
        <w:rPr>
          <w:rFonts w:ascii="Times New Roman" w:hAnsi="Times New Roman"/>
          <w:b w:val="0"/>
          <w:i/>
        </w:rPr>
        <w:t>The power control parameters within the PUR configuration, shall at least include:</w:t>
      </w:r>
    </w:p>
    <w:p w14:paraId="343C672A" w14:textId="77777777" w:rsidR="001F0A3A" w:rsidRPr="001F0A3A" w:rsidRDefault="001F0A3A" w:rsidP="001F0A3A">
      <w:pPr>
        <w:numPr>
          <w:ilvl w:val="0"/>
          <w:numId w:val="7"/>
        </w:numPr>
        <w:spacing w:after="0"/>
        <w:ind w:left="1440"/>
        <w:rPr>
          <w:rFonts w:eastAsia="Times New Roman"/>
          <w:i/>
        </w:rPr>
      </w:pPr>
      <w:r w:rsidRPr="001F0A3A">
        <w:rPr>
          <w:rFonts w:eastAsia="Times New Roman"/>
          <w:i/>
        </w:rPr>
        <w:t>Target UL power level (P_0) for the PUR transmission</w:t>
      </w:r>
    </w:p>
    <w:p w14:paraId="0C4E7520" w14:textId="77777777" w:rsidR="001F0A3A" w:rsidRPr="001F0A3A" w:rsidRDefault="001F0A3A" w:rsidP="001F0A3A">
      <w:pPr>
        <w:ind w:left="720"/>
        <w:rPr>
          <w:i/>
          <w:lang w:val="en-US" w:eastAsia="x-none"/>
        </w:rPr>
      </w:pPr>
    </w:p>
    <w:p w14:paraId="38F00F50" w14:textId="77777777" w:rsidR="001F0A3A" w:rsidRPr="001F0A3A" w:rsidRDefault="001F0A3A" w:rsidP="001F0A3A">
      <w:pPr>
        <w:ind w:left="720"/>
        <w:rPr>
          <w:b/>
          <w:i/>
          <w:highlight w:val="green"/>
          <w:lang w:eastAsia="en-GB"/>
        </w:rPr>
      </w:pPr>
      <w:r w:rsidRPr="001F0A3A">
        <w:rPr>
          <w:b/>
          <w:i/>
          <w:highlight w:val="green"/>
          <w:lang w:eastAsia="en-GB"/>
        </w:rPr>
        <w:t xml:space="preserve">Agreement </w:t>
      </w:r>
    </w:p>
    <w:p w14:paraId="6C883CDD" w14:textId="77777777" w:rsidR="001F0A3A" w:rsidRPr="001F0A3A" w:rsidRDefault="001F0A3A" w:rsidP="001F0A3A">
      <w:pPr>
        <w:ind w:left="720"/>
        <w:rPr>
          <w:i/>
          <w:kern w:val="2"/>
        </w:rPr>
      </w:pPr>
      <w:r w:rsidRPr="001F0A3A">
        <w:rPr>
          <w:i/>
          <w:lang w:eastAsia="en-GB"/>
        </w:rPr>
        <w:t>For dedicated PUR in idle mode, the PUR configuration is configured by UE-specific RRC signaling</w:t>
      </w:r>
      <w:r w:rsidRPr="001F0A3A">
        <w:rPr>
          <w:rFonts w:cs="Times"/>
          <w:i/>
        </w:rPr>
        <w:t>.</w:t>
      </w:r>
    </w:p>
    <w:p w14:paraId="4193CB18" w14:textId="77777777" w:rsidR="001F0A3A" w:rsidRPr="00990F6B" w:rsidRDefault="001F0A3A" w:rsidP="001F0A3A">
      <w:pPr>
        <w:rPr>
          <w:lang w:val="en-US" w:eastAsia="x-none"/>
        </w:rPr>
      </w:pPr>
    </w:p>
    <w:p w14:paraId="422FF475" w14:textId="3F5C9D35"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 xml:space="preserve">discusses some </w:t>
      </w:r>
      <w:r w:rsidR="007D07F1">
        <w:rPr>
          <w:rFonts w:eastAsia="MS Mincho"/>
          <w:lang w:val="en-US"/>
        </w:rPr>
        <w:t xml:space="preserve">further considerations </w:t>
      </w:r>
      <w:r w:rsidR="003F406D">
        <w:rPr>
          <w:rFonts w:eastAsia="MS Mincho"/>
          <w:lang w:val="en-US"/>
        </w:rPr>
        <w:t xml:space="preserve">on </w:t>
      </w:r>
      <w:r w:rsidR="00CD7322">
        <w:rPr>
          <w:rFonts w:eastAsia="MS Mincho"/>
          <w:lang w:val="en-US"/>
        </w:rPr>
        <w:t>dedicated PUR</w:t>
      </w:r>
      <w:r w:rsidR="00AF500B">
        <w:rPr>
          <w:rFonts w:eastAsia="MS Mincho"/>
          <w:lang w:val="en-US"/>
        </w:rPr>
        <w:t>.</w:t>
      </w:r>
      <w:r w:rsidR="00855F39">
        <w:rPr>
          <w:rFonts w:eastAsia="MS Mincho"/>
          <w:lang w:val="en-US"/>
        </w:rPr>
        <w:t xml:space="preserve">  </w:t>
      </w:r>
    </w:p>
    <w:p w14:paraId="4F3089FF" w14:textId="5D6E5A2D" w:rsidR="00C246F3"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1C69E090" w14:textId="77777777" w:rsidR="000C5AA4" w:rsidRPr="000C5AA4" w:rsidRDefault="000C5AA4" w:rsidP="000C5AA4"/>
    <w:p w14:paraId="1F180196" w14:textId="77777777" w:rsidR="00D01DF3" w:rsidRDefault="00D01DF3" w:rsidP="00D01DF3">
      <w:pPr>
        <w:pStyle w:val="Heading2"/>
        <w:numPr>
          <w:ilvl w:val="1"/>
          <w:numId w:val="5"/>
        </w:numPr>
        <w:rPr>
          <w:lang w:val="en-US"/>
        </w:rPr>
      </w:pPr>
      <w:r>
        <w:rPr>
          <w:lang w:val="en-US"/>
        </w:rPr>
        <w:t>TA Validation – RSRP Change</w:t>
      </w:r>
    </w:p>
    <w:p w14:paraId="77018E1D" w14:textId="77777777" w:rsidR="00D01DF3" w:rsidRDefault="00D01DF3" w:rsidP="00D01DF3">
      <w:pPr>
        <w:rPr>
          <w:lang w:val="en-US"/>
        </w:rPr>
      </w:pPr>
      <w:r>
        <w:rPr>
          <w:lang w:val="en-US"/>
        </w:rPr>
        <w:t xml:space="preserve">One of the methods for TA validation is based on serving cell RSRP changes, </w:t>
      </w:r>
      <w:r w:rsidRPr="008F1F96">
        <w:rPr>
          <w:i/>
          <w:lang w:val="en-US"/>
        </w:rPr>
        <w:sym w:font="Symbol" w:char="F044"/>
      </w:r>
      <w:r w:rsidRPr="008F1F96">
        <w:rPr>
          <w:i/>
          <w:lang w:val="en-US"/>
        </w:rPr>
        <w:t>RSRP</w:t>
      </w:r>
      <w:r>
        <w:rPr>
          <w:lang w:val="en-US"/>
        </w:rPr>
        <w:t>, where:</w:t>
      </w:r>
    </w:p>
    <w:p w14:paraId="11B5D856" w14:textId="77777777" w:rsidR="00D01DF3" w:rsidRPr="001929D2" w:rsidRDefault="00D01DF3" w:rsidP="00D01DF3">
      <w:pPr>
        <w:jc w:val="center"/>
        <w:rPr>
          <w:lang w:val="en-US"/>
        </w:rPr>
      </w:pPr>
      <w:r w:rsidRPr="008F1F96">
        <w:rPr>
          <w:i/>
          <w:lang w:val="en-US"/>
        </w:rPr>
        <w:sym w:font="Symbol" w:char="F044"/>
      </w:r>
      <w:r w:rsidRPr="008F1F96">
        <w:rPr>
          <w:i/>
          <w:lang w:val="en-US"/>
        </w:rPr>
        <w:t>RSRP</w:t>
      </w:r>
      <w:r>
        <w:rPr>
          <w:lang w:val="en-US"/>
        </w:rPr>
        <w:t xml:space="preserve"> = RSRP when TA is obtained – RSRP when TA is evaluated</w:t>
      </w:r>
    </w:p>
    <w:p w14:paraId="08392101" w14:textId="77777777" w:rsidR="00D01DF3" w:rsidRDefault="00D01DF3" w:rsidP="00D01DF3">
      <w:pPr>
        <w:rPr>
          <w:lang w:val="en-US"/>
        </w:rPr>
      </w:pPr>
      <w:r>
        <w:rPr>
          <w:lang w:val="en-US"/>
        </w:rPr>
        <w:t xml:space="preserve">Here, the TA is considered valid if </w:t>
      </w:r>
      <w:r w:rsidRPr="008F1F96">
        <w:rPr>
          <w:i/>
          <w:lang w:val="en-US"/>
        </w:rPr>
        <w:sym w:font="Symbol" w:char="F044"/>
      </w:r>
      <w:r w:rsidRPr="008F1F96">
        <w:rPr>
          <w:i/>
          <w:lang w:val="en-US"/>
        </w:rPr>
        <w:t>RSRP</w:t>
      </w:r>
      <w:r>
        <w:rPr>
          <w:lang w:val="en-US"/>
        </w:rPr>
        <w:t xml:space="preserve"> &gt; </w:t>
      </w:r>
      <w:r w:rsidRPr="008F1F96">
        <w:rPr>
          <w:i/>
          <w:lang w:val="en-US"/>
        </w:rPr>
        <w:t>T</w:t>
      </w:r>
      <w:r w:rsidRPr="008F1F96">
        <w:rPr>
          <w:i/>
          <w:vertAlign w:val="subscript"/>
          <w:lang w:val="en-US"/>
        </w:rPr>
        <w:t>RSRP</w:t>
      </w:r>
      <w:r>
        <w:rPr>
          <w:lang w:val="en-US"/>
        </w:rPr>
        <w:t xml:space="preserve">, where </w:t>
      </w:r>
      <w:r w:rsidRPr="008F1F96">
        <w:rPr>
          <w:i/>
          <w:lang w:val="en-US"/>
        </w:rPr>
        <w:t>T</w:t>
      </w:r>
      <w:r w:rsidRPr="008F1F96">
        <w:rPr>
          <w:i/>
          <w:vertAlign w:val="subscript"/>
          <w:lang w:val="en-US"/>
        </w:rPr>
        <w:t>RSRP</w:t>
      </w:r>
      <w:r>
        <w:rPr>
          <w:lang w:val="en-US"/>
        </w:rPr>
        <w:t xml:space="preserve"> is a threshold.  The relationship between RSRP and distance is not linear but an inverse power, i.e. </w:t>
      </w:r>
      <m:oMath>
        <m:r>
          <w:rPr>
            <w:rFonts w:ascii="Cambria Math" w:hAnsi="Cambria Math"/>
            <w:lang w:val="en-US"/>
          </w:rPr>
          <m:t>RSRP∝</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x</m:t>
                </m:r>
              </m:sup>
            </m:sSup>
          </m:den>
        </m:f>
      </m:oMath>
      <w:r>
        <w:rPr>
          <w:lang w:val="en-US"/>
        </w:rPr>
        <w:t xml:space="preserve">, where </w:t>
      </w:r>
      <w:r w:rsidRPr="00C246F3">
        <w:rPr>
          <w:i/>
          <w:lang w:val="en-US"/>
        </w:rPr>
        <w:t>d</w:t>
      </w:r>
      <w:r>
        <w:rPr>
          <w:lang w:val="en-US"/>
        </w:rPr>
        <w:t xml:space="preserve"> is the distance between the UE and the eNB.  Since TA is dependent upon the distance </w:t>
      </w:r>
      <w:r w:rsidRPr="008F1F96">
        <w:rPr>
          <w:i/>
          <w:lang w:val="en-US"/>
        </w:rPr>
        <w:t>d</w:t>
      </w:r>
      <w:r>
        <w:rPr>
          <w:lang w:val="en-US"/>
        </w:rPr>
        <w:t xml:space="preserve">, it is recognised in [1] and [2] that the threshold </w:t>
      </w:r>
      <w:r w:rsidRPr="009F2819">
        <w:rPr>
          <w:i/>
          <w:lang w:val="en-US"/>
        </w:rPr>
        <w:t>T</w:t>
      </w:r>
      <w:r w:rsidRPr="009F2819">
        <w:rPr>
          <w:i/>
          <w:vertAlign w:val="subscript"/>
          <w:lang w:val="en-US"/>
        </w:rPr>
        <w:t>RSRP</w:t>
      </w:r>
      <w:r>
        <w:rPr>
          <w:lang w:val="en-US"/>
        </w:rPr>
        <w:t xml:space="preserve"> is not constant i.e.:</w:t>
      </w:r>
    </w:p>
    <w:p w14:paraId="12B3DAF7" w14:textId="77777777" w:rsidR="00D01DF3" w:rsidRDefault="00D01DF3" w:rsidP="00D01DF3">
      <w:pPr>
        <w:pStyle w:val="ListParagraph"/>
        <w:numPr>
          <w:ilvl w:val="0"/>
          <w:numId w:val="15"/>
        </w:numPr>
        <w:rPr>
          <w:lang w:val="en-US"/>
        </w:rPr>
      </w:pPr>
      <w:r w:rsidRPr="00613B20">
        <w:rPr>
          <w:i/>
          <w:lang w:val="en-US"/>
        </w:rPr>
        <w:t>T</w:t>
      </w:r>
      <w:r w:rsidRPr="00613B20">
        <w:rPr>
          <w:i/>
          <w:vertAlign w:val="subscript"/>
          <w:lang w:val="en-US"/>
        </w:rPr>
        <w:t>RSRP</w:t>
      </w:r>
      <w:r>
        <w:rPr>
          <w:lang w:val="en-US"/>
        </w:rPr>
        <w:t xml:space="preserve"> is dependent upon the absolute RSRP of the UE.</w:t>
      </w:r>
    </w:p>
    <w:p w14:paraId="18E3E0AB" w14:textId="77777777" w:rsidR="00D01DF3" w:rsidRDefault="00D01DF3" w:rsidP="00D01DF3">
      <w:pPr>
        <w:pStyle w:val="ListParagraph"/>
        <w:numPr>
          <w:ilvl w:val="1"/>
          <w:numId w:val="15"/>
        </w:numPr>
        <w:rPr>
          <w:lang w:val="en-US"/>
        </w:rPr>
      </w:pPr>
      <w:r>
        <w:rPr>
          <w:lang w:val="en-US"/>
        </w:rPr>
        <w:t xml:space="preserve">The closer the UE is to the eNB, the larger </w:t>
      </w:r>
      <w:r w:rsidRPr="00613B20">
        <w:rPr>
          <w:i/>
          <w:lang w:val="en-US"/>
        </w:rPr>
        <w:t>T</w:t>
      </w:r>
      <w:r w:rsidRPr="00613B20">
        <w:rPr>
          <w:i/>
          <w:vertAlign w:val="subscript"/>
          <w:lang w:val="en-US"/>
        </w:rPr>
        <w:t>RSRP</w:t>
      </w:r>
      <w:r>
        <w:rPr>
          <w:lang w:val="en-US"/>
        </w:rPr>
        <w:t xml:space="preserve"> needs to be </w:t>
      </w:r>
    </w:p>
    <w:p w14:paraId="792EB6AA" w14:textId="77777777" w:rsidR="00D01DF3" w:rsidRDefault="00D01DF3" w:rsidP="00D01DF3">
      <w:pPr>
        <w:pStyle w:val="ListParagraph"/>
        <w:numPr>
          <w:ilvl w:val="1"/>
          <w:numId w:val="15"/>
        </w:numPr>
        <w:rPr>
          <w:lang w:val="en-US"/>
        </w:rPr>
      </w:pPr>
      <w:r>
        <w:rPr>
          <w:lang w:val="en-US"/>
        </w:rPr>
        <w:t xml:space="preserve">The further away the UE is from the eNB, the smaller </w:t>
      </w:r>
      <w:r w:rsidRPr="00613B20">
        <w:rPr>
          <w:i/>
          <w:lang w:val="en-US"/>
        </w:rPr>
        <w:t>T</w:t>
      </w:r>
      <w:r w:rsidRPr="00613B20">
        <w:rPr>
          <w:i/>
          <w:vertAlign w:val="subscript"/>
          <w:lang w:val="en-US"/>
        </w:rPr>
        <w:t>RSRP</w:t>
      </w:r>
      <w:r>
        <w:rPr>
          <w:lang w:val="en-US"/>
        </w:rPr>
        <w:t xml:space="preserve"> needs to be</w:t>
      </w:r>
    </w:p>
    <w:p w14:paraId="1022A0F4" w14:textId="77777777" w:rsidR="00D01DF3" w:rsidRDefault="00D01DF3" w:rsidP="00D01DF3">
      <w:pPr>
        <w:pStyle w:val="ListParagraph"/>
        <w:numPr>
          <w:ilvl w:val="0"/>
          <w:numId w:val="15"/>
        </w:numPr>
        <w:rPr>
          <w:lang w:val="en-US"/>
        </w:rPr>
      </w:pPr>
      <w:r>
        <w:rPr>
          <w:i/>
          <w:lang w:val="en-US"/>
        </w:rPr>
        <w:t>T</w:t>
      </w:r>
      <w:r w:rsidRPr="00613B20">
        <w:rPr>
          <w:i/>
          <w:vertAlign w:val="subscript"/>
          <w:lang w:val="en-US"/>
        </w:rPr>
        <w:t>RSRP</w:t>
      </w:r>
      <w:r>
        <w:rPr>
          <w:i/>
          <w:lang w:val="en-US"/>
        </w:rPr>
        <w:t xml:space="preserve"> </w:t>
      </w:r>
      <w:r w:rsidRPr="00613B20">
        <w:rPr>
          <w:lang w:val="en-US"/>
        </w:rPr>
        <w:t>is dependent</w:t>
      </w:r>
      <w:r>
        <w:rPr>
          <w:lang w:val="en-US"/>
        </w:rPr>
        <w:t xml:space="preserve"> upon the direction of travel.  For a UE at the same distance from the eNB:</w:t>
      </w:r>
    </w:p>
    <w:p w14:paraId="1B857A99" w14:textId="77777777" w:rsidR="00D01DF3" w:rsidRDefault="00D01DF3" w:rsidP="00D01DF3">
      <w:pPr>
        <w:pStyle w:val="ListParagraph"/>
        <w:numPr>
          <w:ilvl w:val="1"/>
          <w:numId w:val="15"/>
        </w:numPr>
        <w:rPr>
          <w:lang w:val="en-US"/>
        </w:rPr>
      </w:pPr>
      <w:r>
        <w:rPr>
          <w:lang w:val="en-US"/>
        </w:rPr>
        <w:t xml:space="preserve">If the UE moving towards the eNB, </w:t>
      </w:r>
      <w:r w:rsidRPr="00E6545D">
        <w:rPr>
          <w:i/>
          <w:lang w:val="en-US"/>
        </w:rPr>
        <w:t>T</w:t>
      </w:r>
      <w:r w:rsidRPr="00E6545D">
        <w:rPr>
          <w:i/>
          <w:vertAlign w:val="subscript"/>
          <w:lang w:val="en-US"/>
        </w:rPr>
        <w:t>RSRP</w:t>
      </w:r>
      <w:r>
        <w:rPr>
          <w:lang w:val="en-US"/>
        </w:rPr>
        <w:t xml:space="preserve"> needs to be larger</w:t>
      </w:r>
    </w:p>
    <w:p w14:paraId="6ABCFDC5" w14:textId="77777777" w:rsidR="00D01DF3" w:rsidRPr="00613B20" w:rsidRDefault="00D01DF3" w:rsidP="00D01DF3">
      <w:pPr>
        <w:pStyle w:val="ListParagraph"/>
        <w:numPr>
          <w:ilvl w:val="1"/>
          <w:numId w:val="15"/>
        </w:numPr>
        <w:rPr>
          <w:lang w:val="en-US"/>
        </w:rPr>
      </w:pPr>
      <w:r>
        <w:rPr>
          <w:lang w:val="en-US"/>
        </w:rPr>
        <w:t xml:space="preserve">If the UE moves away from the eNB, </w:t>
      </w:r>
      <w:r w:rsidRPr="00E6545D">
        <w:rPr>
          <w:i/>
          <w:lang w:val="en-US"/>
        </w:rPr>
        <w:t>T</w:t>
      </w:r>
      <w:r w:rsidRPr="00E6545D">
        <w:rPr>
          <w:i/>
          <w:vertAlign w:val="subscript"/>
          <w:lang w:val="en-US"/>
        </w:rPr>
        <w:t>RSRP</w:t>
      </w:r>
      <w:r>
        <w:rPr>
          <w:lang w:val="en-US"/>
        </w:rPr>
        <w:t xml:space="preserve"> needs to be smaller  </w:t>
      </w:r>
    </w:p>
    <w:p w14:paraId="6F6065A0" w14:textId="77777777" w:rsidR="00D01DF3" w:rsidRDefault="00D01DF3" w:rsidP="00D01DF3">
      <w:pPr>
        <w:rPr>
          <w:lang w:val="en-US"/>
        </w:rPr>
      </w:pPr>
    </w:p>
    <w:p w14:paraId="60279D04" w14:textId="77777777" w:rsidR="00D01DF3" w:rsidRPr="00E6545D" w:rsidRDefault="00D01DF3" w:rsidP="00D01DF3">
      <w:pPr>
        <w:rPr>
          <w:b/>
          <w:lang w:val="en-US"/>
        </w:rPr>
      </w:pPr>
      <w:r w:rsidRPr="00E6545D">
        <w:rPr>
          <w:b/>
          <w:lang w:val="en-US"/>
        </w:rPr>
        <w:t xml:space="preserve">Observation 1: For validating TA by comparing the serving cell RSRP changes </w:t>
      </w:r>
      <w:r w:rsidRPr="00E6545D">
        <w:rPr>
          <w:b/>
          <w:i/>
          <w:lang w:val="en-US"/>
        </w:rPr>
        <w:sym w:font="Symbol" w:char="F044"/>
      </w:r>
      <w:r w:rsidRPr="00E6545D">
        <w:rPr>
          <w:b/>
          <w:i/>
          <w:lang w:val="en-US"/>
        </w:rPr>
        <w:t>RSRP</w:t>
      </w:r>
      <w:r w:rsidRPr="00E6545D">
        <w:rPr>
          <w:b/>
          <w:lang w:val="en-US"/>
        </w:rPr>
        <w:t xml:space="preserve"> against a threshold </w:t>
      </w:r>
      <w:r w:rsidRPr="00E6545D">
        <w:rPr>
          <w:b/>
          <w:i/>
          <w:lang w:val="en-US"/>
        </w:rPr>
        <w:t>T</w:t>
      </w:r>
      <w:r w:rsidRPr="00E6545D">
        <w:rPr>
          <w:b/>
          <w:i/>
          <w:vertAlign w:val="subscript"/>
          <w:lang w:val="en-US"/>
        </w:rPr>
        <w:t>RSRP</w:t>
      </w:r>
      <w:r w:rsidRPr="00E6545D">
        <w:rPr>
          <w:b/>
          <w:lang w:val="en-US"/>
        </w:rPr>
        <w:t>, the threshold is dynamic and dependent upon the absolute RSRP and the direction of travel of the UE.</w:t>
      </w:r>
    </w:p>
    <w:p w14:paraId="5016B157" w14:textId="0155FECF" w:rsidR="00746621" w:rsidRDefault="00565876" w:rsidP="00565876">
      <w:pPr>
        <w:tabs>
          <w:tab w:val="left" w:pos="3390"/>
        </w:tabs>
        <w:rPr>
          <w:lang w:val="en-US"/>
        </w:rPr>
      </w:pPr>
      <w:r>
        <w:rPr>
          <w:lang w:val="en-US"/>
        </w:rPr>
        <w:tab/>
      </w:r>
    </w:p>
    <w:p w14:paraId="4F9A14B6" w14:textId="77777777" w:rsidR="00D01DF3" w:rsidRDefault="00D01DF3" w:rsidP="00D01DF3">
      <w:pPr>
        <w:rPr>
          <w:rFonts w:eastAsia="MS Mincho"/>
          <w:lang w:val="en-US"/>
        </w:rPr>
      </w:pPr>
      <w:r>
        <w:rPr>
          <w:rFonts w:eastAsia="MS Mincho"/>
          <w:lang w:val="en-US"/>
        </w:rPr>
        <w:t xml:space="preserve">To take into account the direction of travel of the UE, two thresholds, a negative threshold </w:t>
      </w:r>
      <w:r w:rsidRPr="001929D2">
        <w:rPr>
          <w:rFonts w:eastAsia="MS Mincho"/>
          <w:i/>
          <w:lang w:val="en-US"/>
        </w:rPr>
        <w:t>T</w:t>
      </w:r>
      <w:r w:rsidRPr="001929D2">
        <w:rPr>
          <w:rFonts w:eastAsia="MS Mincho"/>
          <w:i/>
          <w:vertAlign w:val="subscript"/>
          <w:lang w:val="en-US"/>
        </w:rPr>
        <w:t>-ve_RSRP</w:t>
      </w:r>
      <w:r>
        <w:rPr>
          <w:rFonts w:eastAsia="MS Mincho"/>
          <w:lang w:val="en-US"/>
        </w:rPr>
        <w:t xml:space="preserve"> and a positive threshold </w:t>
      </w:r>
      <w:r w:rsidRPr="001929D2">
        <w:rPr>
          <w:rFonts w:eastAsia="MS Mincho"/>
          <w:i/>
          <w:lang w:val="en-US"/>
        </w:rPr>
        <w:t>T</w:t>
      </w:r>
      <w:r w:rsidRPr="001929D2">
        <w:rPr>
          <w:rFonts w:eastAsia="MS Mincho"/>
          <w:i/>
          <w:vertAlign w:val="subscript"/>
          <w:lang w:val="en-US"/>
        </w:rPr>
        <w:t>+ve_RSRP</w:t>
      </w:r>
      <w:r>
        <w:rPr>
          <w:rFonts w:eastAsia="MS Mincho"/>
          <w:lang w:val="en-US"/>
        </w:rPr>
        <w:t xml:space="preserve"> can be used [2].  The </w:t>
      </w:r>
      <w:r w:rsidRPr="00907F37">
        <w:rPr>
          <w:rFonts w:eastAsia="MS Mincho"/>
          <w:i/>
          <w:lang w:val="en-US"/>
        </w:rPr>
        <w:t>T</w:t>
      </w:r>
      <w:r w:rsidRPr="00907F37">
        <w:rPr>
          <w:rFonts w:eastAsia="MS Mincho"/>
          <w:i/>
          <w:vertAlign w:val="subscript"/>
          <w:lang w:val="en-US"/>
        </w:rPr>
        <w:t>-ve_RSRP</w:t>
      </w:r>
      <w:r>
        <w:rPr>
          <w:rFonts w:eastAsia="MS Mincho"/>
          <w:lang w:val="en-US"/>
        </w:rPr>
        <w:t xml:space="preserve"> is to cater for the case where the UE moves toward the eNB whilst </w:t>
      </w:r>
      <w:r w:rsidRPr="00907F37">
        <w:rPr>
          <w:rFonts w:eastAsia="MS Mincho"/>
          <w:i/>
          <w:lang w:val="en-US"/>
        </w:rPr>
        <w:t>T</w:t>
      </w:r>
      <w:r>
        <w:rPr>
          <w:rFonts w:eastAsia="MS Mincho"/>
          <w:i/>
          <w:vertAlign w:val="subscript"/>
          <w:lang w:val="en-US"/>
        </w:rPr>
        <w:t>+</w:t>
      </w:r>
      <w:r w:rsidRPr="00907F37">
        <w:rPr>
          <w:rFonts w:eastAsia="MS Mincho"/>
          <w:i/>
          <w:vertAlign w:val="subscript"/>
          <w:lang w:val="en-US"/>
        </w:rPr>
        <w:t>ve_RSRP</w:t>
      </w:r>
      <w:r>
        <w:rPr>
          <w:rFonts w:eastAsia="MS Mincho"/>
          <w:lang w:val="en-US"/>
        </w:rPr>
        <w:t xml:space="preserve"> is to cater for the case where the UE moves away from the eNB.  That is:</w:t>
      </w:r>
    </w:p>
    <w:p w14:paraId="65195D83" w14:textId="77777777" w:rsidR="00D01DF3" w:rsidRPr="00907F37" w:rsidRDefault="00D01DF3" w:rsidP="00D01DF3">
      <w:pPr>
        <w:jc w:val="center"/>
        <w:rPr>
          <w:b/>
          <w:lang w:val="en-US"/>
        </w:rPr>
      </w:pPr>
      <w:r w:rsidRPr="001929D2">
        <w:rPr>
          <w:rFonts w:eastAsia="MS Mincho"/>
          <w:i/>
          <w:lang w:val="en-US"/>
        </w:rPr>
        <w:t>T</w:t>
      </w:r>
      <w:r w:rsidRPr="001929D2">
        <w:rPr>
          <w:rFonts w:eastAsia="MS Mincho"/>
          <w:i/>
          <w:vertAlign w:val="subscript"/>
          <w:lang w:val="en-US"/>
        </w:rPr>
        <w:t>-ve_RSRP</w:t>
      </w:r>
      <w:r>
        <w:rPr>
          <w:rFonts w:eastAsia="MS Mincho"/>
          <w:lang w:val="en-US"/>
        </w:rPr>
        <w:t xml:space="preserve"> ≤ </w:t>
      </w:r>
      <w:r w:rsidRPr="008F1F96">
        <w:rPr>
          <w:i/>
          <w:lang w:val="en-US"/>
        </w:rPr>
        <w:sym w:font="Symbol" w:char="F044"/>
      </w:r>
      <w:r w:rsidRPr="008F1F96">
        <w:rPr>
          <w:i/>
          <w:lang w:val="en-US"/>
        </w:rPr>
        <w:t>RSRP</w:t>
      </w:r>
      <w:r>
        <w:rPr>
          <w:lang w:val="en-US"/>
        </w:rPr>
        <w:t xml:space="preserve"> </w:t>
      </w:r>
      <w:r>
        <w:rPr>
          <w:rFonts w:eastAsia="MS Mincho"/>
          <w:lang w:val="en-US"/>
        </w:rPr>
        <w:t xml:space="preserve">≤ </w:t>
      </w:r>
      <w:r w:rsidRPr="00907F37">
        <w:rPr>
          <w:rFonts w:eastAsia="MS Mincho"/>
          <w:i/>
          <w:lang w:val="en-US"/>
        </w:rPr>
        <w:t>T</w:t>
      </w:r>
      <w:r>
        <w:rPr>
          <w:rFonts w:eastAsia="MS Mincho"/>
          <w:i/>
          <w:vertAlign w:val="subscript"/>
          <w:lang w:val="en-US"/>
        </w:rPr>
        <w:t>+</w:t>
      </w:r>
      <w:r w:rsidRPr="00907F37">
        <w:rPr>
          <w:rFonts w:eastAsia="MS Mincho"/>
          <w:i/>
          <w:vertAlign w:val="subscript"/>
          <w:lang w:val="en-US"/>
        </w:rPr>
        <w:t>ve_RSRP</w:t>
      </w:r>
    </w:p>
    <w:p w14:paraId="19254ACD" w14:textId="77777777" w:rsidR="00D01DF3" w:rsidRDefault="00D01DF3" w:rsidP="00D01DF3">
      <w:pPr>
        <w:rPr>
          <w:lang w:val="en-US"/>
        </w:rPr>
      </w:pPr>
    </w:p>
    <w:p w14:paraId="46B356A4" w14:textId="6029AE88" w:rsidR="00D01DF3" w:rsidRDefault="00D01DF3" w:rsidP="00D01DF3">
      <w:pPr>
        <w:rPr>
          <w:lang w:val="en-US"/>
        </w:rPr>
      </w:pPr>
      <w:r>
        <w:rPr>
          <w:lang w:val="en-US"/>
        </w:rPr>
        <w:t xml:space="preserve">Since the thresholds </w:t>
      </w:r>
      <w:r w:rsidRPr="00907F37">
        <w:rPr>
          <w:rFonts w:eastAsia="MS Mincho"/>
          <w:i/>
          <w:lang w:val="en-US"/>
        </w:rPr>
        <w:t>T</w:t>
      </w:r>
      <w:r w:rsidRPr="00907F37">
        <w:rPr>
          <w:rFonts w:eastAsia="MS Mincho"/>
          <w:i/>
          <w:vertAlign w:val="subscript"/>
          <w:lang w:val="en-US"/>
        </w:rPr>
        <w:t>-ve_RSRP</w:t>
      </w:r>
      <w:r>
        <w:rPr>
          <w:lang w:val="en-US"/>
        </w:rPr>
        <w:t xml:space="preserve"> and </w:t>
      </w:r>
      <w:r w:rsidRPr="00907F37">
        <w:rPr>
          <w:rFonts w:eastAsia="MS Mincho"/>
          <w:i/>
          <w:lang w:val="en-US"/>
        </w:rPr>
        <w:t>T</w:t>
      </w:r>
      <w:r>
        <w:rPr>
          <w:rFonts w:eastAsia="MS Mincho"/>
          <w:i/>
          <w:vertAlign w:val="subscript"/>
          <w:lang w:val="en-US"/>
        </w:rPr>
        <w:t>+</w:t>
      </w:r>
      <w:r w:rsidRPr="00907F37">
        <w:rPr>
          <w:rFonts w:eastAsia="MS Mincho"/>
          <w:i/>
          <w:vertAlign w:val="subscript"/>
          <w:lang w:val="en-US"/>
        </w:rPr>
        <w:t>ve_RSRP</w:t>
      </w:r>
      <w:r>
        <w:rPr>
          <w:lang w:val="en-US"/>
        </w:rPr>
        <w:t xml:space="preserve"> depend on the UE’s absolute RSRP, in [1], </w:t>
      </w:r>
      <w:r w:rsidR="00746621">
        <w:rPr>
          <w:lang w:val="en-US"/>
        </w:rPr>
        <w:t xml:space="preserve">multiple thresholds for each direction of travel </w:t>
      </w:r>
      <w:r w:rsidR="003F406D">
        <w:rPr>
          <w:lang w:val="en-US"/>
        </w:rPr>
        <w:t xml:space="preserve">are </w:t>
      </w:r>
      <w:r w:rsidR="00746621">
        <w:rPr>
          <w:lang w:val="en-US"/>
        </w:rPr>
        <w:t>required.  I</w:t>
      </w:r>
      <w:r>
        <w:rPr>
          <w:lang w:val="en-US"/>
        </w:rPr>
        <w:t>t is proposed to use a lookup table to determine these thresholds where the input to this table is the UE’s measured RSRP</w:t>
      </w:r>
      <w:r w:rsidR="003F406D">
        <w:rPr>
          <w:lang w:val="en-US"/>
        </w:rPr>
        <w:t xml:space="preserve"> (measured at the time when the TA is evaluated)</w:t>
      </w:r>
      <w:r>
        <w:rPr>
          <w:lang w:val="en-US"/>
        </w:rPr>
        <w:t xml:space="preserve">.  An example lookup table is shown in </w:t>
      </w:r>
      <w:r>
        <w:rPr>
          <w:lang w:val="en-US"/>
        </w:rPr>
        <w:fldChar w:fldCharType="begin"/>
      </w:r>
      <w:r>
        <w:rPr>
          <w:lang w:val="en-US"/>
        </w:rPr>
        <w:instrText xml:space="preserve"> REF _Ref1128220 \h </w:instrText>
      </w:r>
      <w:r>
        <w:rPr>
          <w:lang w:val="en-US"/>
        </w:rPr>
      </w:r>
      <w:r>
        <w:rPr>
          <w:lang w:val="en-US"/>
        </w:rPr>
        <w:fldChar w:fldCharType="separate"/>
      </w:r>
      <w:r>
        <w:t xml:space="preserve">Table </w:t>
      </w:r>
      <w:r>
        <w:rPr>
          <w:noProof/>
        </w:rPr>
        <w:t>1</w:t>
      </w:r>
      <w:r>
        <w:rPr>
          <w:lang w:val="en-US"/>
        </w:rPr>
        <w:fldChar w:fldCharType="end"/>
      </w:r>
      <w:r>
        <w:rPr>
          <w:lang w:val="en-US"/>
        </w:rPr>
        <w:t xml:space="preserve">, where the UE selects the thresholds </w:t>
      </w:r>
      <w:r w:rsidRPr="00907F37">
        <w:rPr>
          <w:rFonts w:eastAsia="MS Mincho"/>
          <w:i/>
          <w:lang w:val="en-US"/>
        </w:rPr>
        <w:t>T</w:t>
      </w:r>
      <w:r w:rsidRPr="00907F37">
        <w:rPr>
          <w:rFonts w:eastAsia="MS Mincho"/>
          <w:i/>
          <w:vertAlign w:val="subscript"/>
          <w:lang w:val="en-US"/>
        </w:rPr>
        <w:t>-ve_RSRP</w:t>
      </w:r>
      <w:r>
        <w:rPr>
          <w:lang w:val="en-US"/>
        </w:rPr>
        <w:t xml:space="preserve"> and </w:t>
      </w:r>
      <w:r w:rsidRPr="00907F37">
        <w:rPr>
          <w:rFonts w:eastAsia="MS Mincho"/>
          <w:i/>
          <w:lang w:val="en-US"/>
        </w:rPr>
        <w:t>T</w:t>
      </w:r>
      <w:r>
        <w:rPr>
          <w:rFonts w:eastAsia="MS Mincho"/>
          <w:i/>
          <w:vertAlign w:val="subscript"/>
          <w:lang w:val="en-US"/>
        </w:rPr>
        <w:t>+</w:t>
      </w:r>
      <w:r w:rsidRPr="00907F37">
        <w:rPr>
          <w:rFonts w:eastAsia="MS Mincho"/>
          <w:i/>
          <w:vertAlign w:val="subscript"/>
          <w:lang w:val="en-US"/>
        </w:rPr>
        <w:t>ve_RSRP</w:t>
      </w:r>
      <w:r>
        <w:rPr>
          <w:lang w:val="en-US"/>
        </w:rPr>
        <w:t xml:space="preserve"> depending on its RSRP range.  Such a lookup table can be configured by the eNB where the values can be based on the path loss model of the cell.</w:t>
      </w:r>
    </w:p>
    <w:p w14:paraId="690FA5F2" w14:textId="77777777" w:rsidR="00D01DF3" w:rsidRDefault="00D01DF3" w:rsidP="00D01DF3">
      <w:pPr>
        <w:rPr>
          <w:rFonts w:eastAsia="MS Mincho"/>
          <w:lang w:val="en-US"/>
        </w:rPr>
      </w:pPr>
    </w:p>
    <w:p w14:paraId="185E22FD" w14:textId="77777777" w:rsidR="00D01DF3" w:rsidRDefault="00D01DF3" w:rsidP="00D01DF3">
      <w:pPr>
        <w:pStyle w:val="Caption"/>
        <w:jc w:val="center"/>
        <w:rPr>
          <w:rFonts w:eastAsia="MS Mincho"/>
          <w:lang w:val="en-US"/>
        </w:rPr>
      </w:pPr>
      <w:bookmarkStart w:id="2" w:name="_Ref1128220"/>
      <w:r>
        <w:t xml:space="preserve">Table </w:t>
      </w:r>
      <w:r>
        <w:fldChar w:fldCharType="begin"/>
      </w:r>
      <w:r>
        <w:rPr>
          <w:noProof/>
        </w:rPr>
        <w:instrText xml:space="preserve"> SEQ Table \* ARABIC </w:instrText>
      </w:r>
      <w:r>
        <w:fldChar w:fldCharType="separate"/>
      </w:r>
      <w:r>
        <w:rPr>
          <w:noProof/>
        </w:rPr>
        <w:t>1</w:t>
      </w:r>
      <w:r>
        <w:fldChar w:fldCharType="end"/>
      </w:r>
      <w:bookmarkEnd w:id="2"/>
      <w:r>
        <w:t>: Example lookup table for absolute RSRP range and RSRP threshold</w:t>
      </w:r>
    </w:p>
    <w:tbl>
      <w:tblPr>
        <w:tblStyle w:val="TableGrid"/>
        <w:tblW w:w="0" w:type="auto"/>
        <w:tblInd w:w="704" w:type="dxa"/>
        <w:tblLook w:val="04A0" w:firstRow="1" w:lastRow="0" w:firstColumn="1" w:lastColumn="0" w:noHBand="0" w:noVBand="1"/>
      </w:tblPr>
      <w:tblGrid>
        <w:gridCol w:w="3066"/>
        <w:gridCol w:w="2748"/>
        <w:gridCol w:w="2628"/>
      </w:tblGrid>
      <w:tr w:rsidR="00D01DF3" w14:paraId="2B5406D7" w14:textId="77777777" w:rsidTr="00366D66">
        <w:tc>
          <w:tcPr>
            <w:tcW w:w="3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0F0DD" w14:textId="77777777" w:rsidR="00D01DF3" w:rsidRDefault="00D01DF3" w:rsidP="00366D66">
            <w:pPr>
              <w:jc w:val="center"/>
              <w:rPr>
                <w:rFonts w:eastAsia="MS Mincho"/>
                <w:b/>
                <w:lang w:val="en-US"/>
              </w:rPr>
            </w:pPr>
            <w:r>
              <w:rPr>
                <w:rFonts w:eastAsia="MS Mincho"/>
                <w:b/>
                <w:lang w:val="en-US"/>
              </w:rPr>
              <w:t>RSRP range (dBm)</w:t>
            </w:r>
          </w:p>
        </w:tc>
        <w:tc>
          <w:tcPr>
            <w:tcW w:w="2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D54DE2" w14:textId="77777777" w:rsidR="00D01DF3" w:rsidRDefault="00D01DF3" w:rsidP="00366D66">
            <w:pPr>
              <w:jc w:val="center"/>
              <w:rPr>
                <w:rFonts w:eastAsia="MS Mincho"/>
                <w:b/>
                <w:lang w:val="en-US"/>
              </w:rPr>
            </w:pPr>
            <w:r>
              <w:rPr>
                <w:rFonts w:eastAsia="MS Mincho"/>
                <w:b/>
                <w:i/>
                <w:lang w:val="en-US"/>
              </w:rPr>
              <w:t>T</w:t>
            </w:r>
            <w:r>
              <w:rPr>
                <w:rFonts w:eastAsia="MS Mincho"/>
                <w:b/>
                <w:i/>
                <w:vertAlign w:val="subscript"/>
                <w:lang w:val="en-US"/>
              </w:rPr>
              <w:t>-ve_RSRP</w:t>
            </w:r>
            <w:r>
              <w:rPr>
                <w:rFonts w:eastAsia="MS Mincho"/>
                <w:b/>
                <w:lang w:val="en-US"/>
              </w:rPr>
              <w:t xml:space="preserve"> (dB)</w:t>
            </w:r>
          </w:p>
        </w:tc>
        <w:tc>
          <w:tcPr>
            <w:tcW w:w="2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9E430" w14:textId="77777777" w:rsidR="00D01DF3" w:rsidRDefault="00D01DF3" w:rsidP="00366D66">
            <w:pPr>
              <w:jc w:val="center"/>
              <w:rPr>
                <w:rFonts w:eastAsia="MS Mincho"/>
                <w:b/>
                <w:i/>
                <w:lang w:val="en-US"/>
              </w:rPr>
            </w:pPr>
            <w:r>
              <w:rPr>
                <w:rFonts w:eastAsia="MS Mincho"/>
                <w:b/>
                <w:i/>
                <w:lang w:val="en-US"/>
              </w:rPr>
              <w:t>T</w:t>
            </w:r>
            <w:r>
              <w:rPr>
                <w:rFonts w:eastAsia="MS Mincho"/>
                <w:b/>
                <w:i/>
                <w:vertAlign w:val="subscript"/>
                <w:lang w:val="en-US"/>
              </w:rPr>
              <w:t>+ve_RSRP</w:t>
            </w:r>
            <w:r>
              <w:rPr>
                <w:rFonts w:eastAsia="MS Mincho"/>
                <w:b/>
                <w:lang w:val="en-US"/>
              </w:rPr>
              <w:t xml:space="preserve"> (dB)</w:t>
            </w:r>
          </w:p>
        </w:tc>
      </w:tr>
      <w:tr w:rsidR="00D01DF3" w14:paraId="220BABB3" w14:textId="77777777" w:rsidTr="00366D66">
        <w:tc>
          <w:tcPr>
            <w:tcW w:w="3066" w:type="dxa"/>
            <w:tcBorders>
              <w:top w:val="single" w:sz="4" w:space="0" w:color="auto"/>
              <w:left w:val="single" w:sz="4" w:space="0" w:color="auto"/>
              <w:bottom w:val="single" w:sz="4" w:space="0" w:color="auto"/>
              <w:right w:val="single" w:sz="4" w:space="0" w:color="auto"/>
            </w:tcBorders>
            <w:hideMark/>
          </w:tcPr>
          <w:p w14:paraId="51973441" w14:textId="77777777" w:rsidR="00D01DF3" w:rsidRDefault="00D01DF3" w:rsidP="00366D66">
            <w:pPr>
              <w:pStyle w:val="ListParagraph"/>
              <w:ind w:left="1080"/>
              <w:rPr>
                <w:rFonts w:eastAsia="MS Mincho"/>
                <w:lang w:val="en-US"/>
              </w:rPr>
            </w:pPr>
            <w:r>
              <w:rPr>
                <w:rFonts w:eastAsia="MS Mincho"/>
                <w:lang w:val="en-US"/>
              </w:rPr>
              <w:t>&gt;-60 dBm</w:t>
            </w:r>
          </w:p>
        </w:tc>
        <w:tc>
          <w:tcPr>
            <w:tcW w:w="2748" w:type="dxa"/>
            <w:tcBorders>
              <w:top w:val="single" w:sz="4" w:space="0" w:color="auto"/>
              <w:left w:val="single" w:sz="4" w:space="0" w:color="auto"/>
              <w:bottom w:val="single" w:sz="4" w:space="0" w:color="auto"/>
              <w:right w:val="single" w:sz="4" w:space="0" w:color="auto"/>
            </w:tcBorders>
            <w:hideMark/>
          </w:tcPr>
          <w:p w14:paraId="30BC8CC3" w14:textId="77777777" w:rsidR="00D01DF3" w:rsidRDefault="00D01DF3" w:rsidP="00366D66">
            <w:pPr>
              <w:jc w:val="center"/>
              <w:rPr>
                <w:rFonts w:eastAsia="MS Mincho"/>
                <w:lang w:val="en-US"/>
              </w:rPr>
            </w:pPr>
            <w:r>
              <w:rPr>
                <w:rFonts w:eastAsia="MS Mincho"/>
                <w:lang w:val="en-US"/>
              </w:rPr>
              <w:t>-25 dB</w:t>
            </w:r>
          </w:p>
        </w:tc>
        <w:tc>
          <w:tcPr>
            <w:tcW w:w="2628" w:type="dxa"/>
            <w:tcBorders>
              <w:top w:val="single" w:sz="4" w:space="0" w:color="auto"/>
              <w:left w:val="single" w:sz="4" w:space="0" w:color="auto"/>
              <w:bottom w:val="single" w:sz="4" w:space="0" w:color="auto"/>
              <w:right w:val="single" w:sz="4" w:space="0" w:color="auto"/>
            </w:tcBorders>
          </w:tcPr>
          <w:p w14:paraId="4C70E4F0" w14:textId="77777777" w:rsidR="00D01DF3" w:rsidRDefault="00D01DF3" w:rsidP="00366D66">
            <w:pPr>
              <w:jc w:val="center"/>
              <w:rPr>
                <w:rFonts w:eastAsia="MS Mincho"/>
                <w:lang w:val="en-US"/>
              </w:rPr>
            </w:pPr>
            <w:r>
              <w:rPr>
                <w:rFonts w:eastAsia="MS Mincho"/>
                <w:lang w:val="en-US"/>
              </w:rPr>
              <w:t>20 dB</w:t>
            </w:r>
          </w:p>
        </w:tc>
      </w:tr>
      <w:tr w:rsidR="00D01DF3" w14:paraId="3586BA41" w14:textId="77777777" w:rsidTr="00366D66">
        <w:tc>
          <w:tcPr>
            <w:tcW w:w="3066" w:type="dxa"/>
            <w:tcBorders>
              <w:top w:val="single" w:sz="4" w:space="0" w:color="auto"/>
              <w:left w:val="single" w:sz="4" w:space="0" w:color="auto"/>
              <w:bottom w:val="single" w:sz="4" w:space="0" w:color="auto"/>
              <w:right w:val="single" w:sz="4" w:space="0" w:color="auto"/>
            </w:tcBorders>
            <w:hideMark/>
          </w:tcPr>
          <w:p w14:paraId="34C6A3B5" w14:textId="77777777" w:rsidR="00D01DF3" w:rsidRDefault="00D01DF3" w:rsidP="00366D66">
            <w:pPr>
              <w:jc w:val="center"/>
              <w:rPr>
                <w:rFonts w:eastAsia="MS Mincho"/>
                <w:lang w:val="en-US"/>
              </w:rPr>
            </w:pPr>
            <w:r>
              <w:rPr>
                <w:rFonts w:eastAsia="MS Mincho"/>
                <w:lang w:val="en-US"/>
              </w:rPr>
              <w:t>-60 dBm to -85 dBm</w:t>
            </w:r>
          </w:p>
        </w:tc>
        <w:tc>
          <w:tcPr>
            <w:tcW w:w="2748" w:type="dxa"/>
            <w:tcBorders>
              <w:top w:val="single" w:sz="4" w:space="0" w:color="auto"/>
              <w:left w:val="single" w:sz="4" w:space="0" w:color="auto"/>
              <w:bottom w:val="single" w:sz="4" w:space="0" w:color="auto"/>
              <w:right w:val="single" w:sz="4" w:space="0" w:color="auto"/>
            </w:tcBorders>
            <w:hideMark/>
          </w:tcPr>
          <w:p w14:paraId="43831AA4" w14:textId="77777777" w:rsidR="00D01DF3" w:rsidRDefault="00D01DF3" w:rsidP="00366D66">
            <w:pPr>
              <w:jc w:val="center"/>
              <w:rPr>
                <w:rFonts w:eastAsia="MS Mincho"/>
                <w:lang w:val="en-US"/>
              </w:rPr>
            </w:pPr>
            <w:r>
              <w:rPr>
                <w:rFonts w:eastAsia="MS Mincho"/>
                <w:lang w:val="en-US"/>
              </w:rPr>
              <w:t>-10 dB</w:t>
            </w:r>
          </w:p>
        </w:tc>
        <w:tc>
          <w:tcPr>
            <w:tcW w:w="2628" w:type="dxa"/>
            <w:tcBorders>
              <w:top w:val="single" w:sz="4" w:space="0" w:color="auto"/>
              <w:left w:val="single" w:sz="4" w:space="0" w:color="auto"/>
              <w:bottom w:val="single" w:sz="4" w:space="0" w:color="auto"/>
              <w:right w:val="single" w:sz="4" w:space="0" w:color="auto"/>
            </w:tcBorders>
          </w:tcPr>
          <w:p w14:paraId="17A1CEC9" w14:textId="77777777" w:rsidR="00D01DF3" w:rsidRDefault="00D01DF3" w:rsidP="00366D66">
            <w:pPr>
              <w:jc w:val="center"/>
              <w:rPr>
                <w:rFonts w:eastAsia="MS Mincho"/>
                <w:lang w:val="en-US"/>
              </w:rPr>
            </w:pPr>
            <w:r>
              <w:rPr>
                <w:rFonts w:eastAsia="MS Mincho"/>
                <w:lang w:val="en-US"/>
              </w:rPr>
              <w:t>8 dB</w:t>
            </w:r>
          </w:p>
        </w:tc>
      </w:tr>
      <w:tr w:rsidR="00D01DF3" w14:paraId="5B5659D5" w14:textId="77777777" w:rsidTr="00366D66">
        <w:tc>
          <w:tcPr>
            <w:tcW w:w="3066" w:type="dxa"/>
            <w:tcBorders>
              <w:top w:val="single" w:sz="4" w:space="0" w:color="auto"/>
              <w:left w:val="single" w:sz="4" w:space="0" w:color="auto"/>
              <w:bottom w:val="single" w:sz="4" w:space="0" w:color="auto"/>
              <w:right w:val="single" w:sz="4" w:space="0" w:color="auto"/>
            </w:tcBorders>
            <w:hideMark/>
          </w:tcPr>
          <w:p w14:paraId="0CA42329" w14:textId="77777777" w:rsidR="00D01DF3" w:rsidRDefault="00D01DF3" w:rsidP="00366D66">
            <w:pPr>
              <w:jc w:val="center"/>
              <w:rPr>
                <w:rFonts w:eastAsia="MS Mincho"/>
                <w:lang w:val="en-US"/>
              </w:rPr>
            </w:pPr>
            <w:r>
              <w:rPr>
                <w:rFonts w:eastAsia="MS Mincho"/>
                <w:lang w:val="en-US"/>
              </w:rPr>
              <w:t>&lt;-90 dBm</w:t>
            </w:r>
          </w:p>
        </w:tc>
        <w:tc>
          <w:tcPr>
            <w:tcW w:w="2748" w:type="dxa"/>
            <w:tcBorders>
              <w:top w:val="single" w:sz="4" w:space="0" w:color="auto"/>
              <w:left w:val="single" w:sz="4" w:space="0" w:color="auto"/>
              <w:bottom w:val="single" w:sz="4" w:space="0" w:color="auto"/>
              <w:right w:val="single" w:sz="4" w:space="0" w:color="auto"/>
            </w:tcBorders>
            <w:hideMark/>
          </w:tcPr>
          <w:p w14:paraId="0FE5A3AE" w14:textId="77777777" w:rsidR="00D01DF3" w:rsidRDefault="00D01DF3" w:rsidP="00366D66">
            <w:pPr>
              <w:jc w:val="center"/>
              <w:rPr>
                <w:rFonts w:eastAsia="MS Mincho"/>
                <w:lang w:val="en-US"/>
              </w:rPr>
            </w:pPr>
            <w:r>
              <w:rPr>
                <w:rFonts w:eastAsia="MS Mincho"/>
                <w:lang w:val="en-US"/>
              </w:rPr>
              <w:t>-5 dB</w:t>
            </w:r>
          </w:p>
        </w:tc>
        <w:tc>
          <w:tcPr>
            <w:tcW w:w="2628" w:type="dxa"/>
            <w:tcBorders>
              <w:top w:val="single" w:sz="4" w:space="0" w:color="auto"/>
              <w:left w:val="single" w:sz="4" w:space="0" w:color="auto"/>
              <w:bottom w:val="single" w:sz="4" w:space="0" w:color="auto"/>
              <w:right w:val="single" w:sz="4" w:space="0" w:color="auto"/>
            </w:tcBorders>
          </w:tcPr>
          <w:p w14:paraId="77C4FE22" w14:textId="77777777" w:rsidR="00D01DF3" w:rsidRDefault="00D01DF3" w:rsidP="00366D66">
            <w:pPr>
              <w:jc w:val="center"/>
              <w:rPr>
                <w:rFonts w:eastAsia="MS Mincho"/>
                <w:lang w:val="en-US"/>
              </w:rPr>
            </w:pPr>
            <w:r>
              <w:rPr>
                <w:rFonts w:eastAsia="MS Mincho"/>
                <w:lang w:val="en-US"/>
              </w:rPr>
              <w:t>3 dB</w:t>
            </w:r>
          </w:p>
        </w:tc>
      </w:tr>
    </w:tbl>
    <w:p w14:paraId="1AC12768" w14:textId="77777777" w:rsidR="00D01DF3" w:rsidRDefault="00D01DF3" w:rsidP="00D01DF3">
      <w:pPr>
        <w:rPr>
          <w:rFonts w:eastAsia="MS Mincho"/>
          <w:lang w:val="en-US"/>
        </w:rPr>
      </w:pPr>
    </w:p>
    <w:p w14:paraId="7F119140" w14:textId="77777777" w:rsidR="00D01DF3" w:rsidRPr="00D473F5" w:rsidRDefault="00D01DF3" w:rsidP="00D01DF3">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sidRPr="00D473F5">
        <w:rPr>
          <w:b/>
          <w:lang w:val="en-US"/>
        </w:rPr>
        <w:t xml:space="preserve"> is:</w:t>
      </w:r>
    </w:p>
    <w:p w14:paraId="5FFE4799" w14:textId="77777777" w:rsidR="00D01DF3" w:rsidRPr="00D473F5" w:rsidRDefault="00D01DF3" w:rsidP="00D01DF3">
      <w:pPr>
        <w:jc w:val="center"/>
        <w:rPr>
          <w:b/>
          <w:lang w:val="en-US"/>
        </w:rPr>
      </w:pPr>
      <w:r w:rsidRPr="00D473F5">
        <w:rPr>
          <w:rFonts w:eastAsia="MS Mincho"/>
          <w:b/>
          <w:i/>
          <w:lang w:val="en-US"/>
        </w:rPr>
        <w:t>T</w:t>
      </w:r>
      <w:r w:rsidRPr="00D473F5">
        <w:rPr>
          <w:rFonts w:eastAsia="MS Mincho"/>
          <w:b/>
          <w:i/>
          <w:vertAlign w:val="subscript"/>
          <w:lang w:val="en-US"/>
        </w:rPr>
        <w:t>-ve_RSRP</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+ve_RSRP</w:t>
      </w:r>
    </w:p>
    <w:p w14:paraId="390DA275" w14:textId="77777777" w:rsidR="00D01DF3" w:rsidRPr="00D473F5" w:rsidRDefault="00D01DF3" w:rsidP="00D01DF3">
      <w:pPr>
        <w:pStyle w:val="ListParagraph"/>
        <w:numPr>
          <w:ilvl w:val="0"/>
          <w:numId w:val="16"/>
        </w:numPr>
        <w:rPr>
          <w:b/>
          <w:lang w:val="en-US"/>
        </w:rPr>
      </w:pPr>
      <w:r w:rsidRPr="00D473F5">
        <w:rPr>
          <w:b/>
          <w:lang w:val="en-US"/>
        </w:rPr>
        <w:t>Where:</w:t>
      </w:r>
    </w:p>
    <w:p w14:paraId="5B1E2F3B" w14:textId="77777777" w:rsidR="00D01DF3" w:rsidRPr="00D473F5" w:rsidRDefault="00D01DF3" w:rsidP="00D01DF3">
      <w:pPr>
        <w:pStyle w:val="ListParagraph"/>
        <w:numPr>
          <w:ilvl w:val="1"/>
          <w:numId w:val="16"/>
        </w:numPr>
        <w:rPr>
          <w:b/>
          <w:lang w:val="en-US"/>
        </w:rPr>
      </w:pPr>
      <w:r w:rsidRPr="00D473F5">
        <w:rPr>
          <w:b/>
          <w:i/>
          <w:lang w:val="en-US"/>
        </w:rPr>
        <w:lastRenderedPageBreak/>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r w:rsidRPr="00D473F5">
        <w:rPr>
          <w:b/>
          <w:i/>
          <w:lang w:val="en-US"/>
        </w:rPr>
        <w:t>RSRP</w:t>
      </w:r>
      <w:r w:rsidRPr="00D473F5">
        <w:rPr>
          <w:b/>
          <w:i/>
          <w:vertAlign w:val="subscript"/>
          <w:lang w:val="en-US"/>
        </w:rPr>
        <w:t>Evaluate</w:t>
      </w:r>
    </w:p>
    <w:p w14:paraId="3006C446" w14:textId="77777777" w:rsidR="00D01DF3" w:rsidRPr="00D473F5" w:rsidRDefault="00D01DF3" w:rsidP="00D01DF3">
      <w:pPr>
        <w:pStyle w:val="ListParagraph"/>
        <w:numPr>
          <w:ilvl w:val="2"/>
          <w:numId w:val="16"/>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0EA4831B" w14:textId="77777777" w:rsidR="00D01DF3" w:rsidRPr="00D473F5" w:rsidRDefault="00D01DF3" w:rsidP="00D01DF3">
      <w:pPr>
        <w:pStyle w:val="ListParagraph"/>
        <w:numPr>
          <w:ilvl w:val="2"/>
          <w:numId w:val="16"/>
        </w:numPr>
        <w:rPr>
          <w:b/>
          <w:lang w:val="en-US"/>
        </w:rPr>
      </w:pPr>
      <w:r w:rsidRPr="00D473F5">
        <w:rPr>
          <w:b/>
          <w:i/>
          <w:lang w:val="en-US"/>
        </w:rPr>
        <w:t>RSRP</w:t>
      </w:r>
      <w:r w:rsidRPr="00D473F5">
        <w:rPr>
          <w:b/>
          <w:i/>
          <w:vertAlign w:val="subscript"/>
          <w:lang w:val="en-US"/>
        </w:rPr>
        <w:t>Evaluate</w:t>
      </w:r>
      <w:r w:rsidRPr="00D473F5">
        <w:rPr>
          <w:b/>
          <w:lang w:val="en-US"/>
        </w:rPr>
        <w:t xml:space="preserve"> is the RSRP measured when the TA is evaluated</w:t>
      </w:r>
    </w:p>
    <w:p w14:paraId="584655D5" w14:textId="77777777" w:rsidR="00D01DF3" w:rsidRPr="00D473F5" w:rsidRDefault="00D01DF3" w:rsidP="00D01DF3">
      <w:pPr>
        <w:pStyle w:val="ListParagraph"/>
        <w:numPr>
          <w:ilvl w:val="1"/>
          <w:numId w:val="16"/>
        </w:numPr>
        <w:rPr>
          <w:b/>
          <w:lang w:val="en-US"/>
        </w:rPr>
      </w:pPr>
      <w:r w:rsidRPr="00D473F5">
        <w:rPr>
          <w:rFonts w:eastAsia="MS Mincho"/>
          <w:b/>
          <w:i/>
          <w:lang w:val="en-US"/>
        </w:rPr>
        <w:t>T</w:t>
      </w:r>
      <w:r w:rsidRPr="00D473F5">
        <w:rPr>
          <w:rFonts w:eastAsia="MS Mincho"/>
          <w:b/>
          <w:i/>
          <w:vertAlign w:val="subscript"/>
          <w:lang w:val="en-US"/>
        </w:rPr>
        <w:t>-ve_RSRP</w:t>
      </w:r>
      <w:r w:rsidRPr="00D473F5">
        <w:rPr>
          <w:b/>
          <w:lang w:val="en-US"/>
        </w:rPr>
        <w:t xml:space="preserve"> and </w:t>
      </w:r>
      <w:r w:rsidRPr="00D473F5">
        <w:rPr>
          <w:rFonts w:eastAsia="MS Mincho"/>
          <w:b/>
          <w:i/>
          <w:lang w:val="en-US"/>
        </w:rPr>
        <w:t>T</w:t>
      </w:r>
      <w:r w:rsidRPr="00D473F5">
        <w:rPr>
          <w:rFonts w:eastAsia="MS Mincho"/>
          <w:b/>
          <w:i/>
          <w:vertAlign w:val="subscript"/>
          <w:lang w:val="en-US"/>
        </w:rPr>
        <w:t>+ve_RSRP</w:t>
      </w:r>
      <w:r w:rsidRPr="00D473F5">
        <w:rPr>
          <w:rFonts w:eastAsia="MS Mincho"/>
          <w:b/>
          <w:lang w:val="en-US"/>
        </w:rPr>
        <w:t xml:space="preserve"> are determined from a lookup table using </w:t>
      </w:r>
      <w:r w:rsidRPr="00D473F5">
        <w:rPr>
          <w:b/>
          <w:i/>
          <w:lang w:val="en-US"/>
        </w:rPr>
        <w:t>RSRP</w:t>
      </w:r>
      <w:r w:rsidRPr="00D473F5">
        <w:rPr>
          <w:b/>
          <w:i/>
          <w:vertAlign w:val="subscript"/>
          <w:lang w:val="en-US"/>
        </w:rPr>
        <w:t>Evaluate</w:t>
      </w:r>
      <w:r w:rsidRPr="00D473F5">
        <w:rPr>
          <w:b/>
          <w:lang w:val="en-US"/>
        </w:rPr>
        <w:t xml:space="preserve"> as an input</w:t>
      </w:r>
    </w:p>
    <w:p w14:paraId="1D57C0F8" w14:textId="77777777" w:rsidR="00D01DF3" w:rsidRDefault="00D01DF3" w:rsidP="00D01DF3">
      <w:pPr>
        <w:rPr>
          <w:lang w:val="en-US"/>
        </w:rPr>
      </w:pPr>
    </w:p>
    <w:p w14:paraId="4649CCEC" w14:textId="77777777" w:rsidR="000C5AA4" w:rsidRPr="000C5AA4" w:rsidRDefault="000C5AA4" w:rsidP="000C5AA4"/>
    <w:p w14:paraId="184764BC" w14:textId="16F0564A" w:rsidR="000C5AA4" w:rsidRDefault="000C5AA4" w:rsidP="000C5AA4">
      <w:pPr>
        <w:pStyle w:val="Heading2"/>
        <w:numPr>
          <w:ilvl w:val="1"/>
          <w:numId w:val="5"/>
        </w:numPr>
        <w:rPr>
          <w:lang w:val="en-US"/>
        </w:rPr>
      </w:pPr>
      <w:r>
        <w:rPr>
          <w:lang w:val="en-US"/>
        </w:rPr>
        <w:t>Layer 1 Configuration</w:t>
      </w:r>
    </w:p>
    <w:p w14:paraId="65B70479" w14:textId="3A198D7E" w:rsidR="00AD4CD8" w:rsidRDefault="000C5AA4" w:rsidP="000C5AA4">
      <w:pPr>
        <w:rPr>
          <w:lang w:val="en-US"/>
        </w:rPr>
      </w:pPr>
      <w:r>
        <w:rPr>
          <w:lang w:val="en-US"/>
        </w:rPr>
        <w:t>The working assumption allows some PUR parameters to be changed using Layer 1 signalling.  In [3] we proposed that the repetition can be updated after PUR transmission since we expect some services to be mobile.  It is already agreed that TA can be updated.  Hence the proposed L1 parameters that can be changed are at least the repetition and TA.</w:t>
      </w:r>
    </w:p>
    <w:p w14:paraId="710BE9E3" w14:textId="683B5DFB" w:rsidR="000C5AA4" w:rsidRDefault="000C5AA4" w:rsidP="000C5AA4">
      <w:pPr>
        <w:rPr>
          <w:b/>
          <w:lang w:val="en-US"/>
        </w:rPr>
      </w:pPr>
      <w:r w:rsidRPr="000C5AA4">
        <w:rPr>
          <w:b/>
          <w:lang w:val="en-US"/>
        </w:rPr>
        <w:t xml:space="preserve">Proposal 2: </w:t>
      </w:r>
      <w:r>
        <w:rPr>
          <w:b/>
          <w:lang w:val="en-US"/>
        </w:rPr>
        <w:t>In idle mode, a</w:t>
      </w:r>
      <w:r w:rsidRPr="000C5AA4">
        <w:rPr>
          <w:b/>
          <w:lang w:val="en-US"/>
        </w:rPr>
        <w:t>t least the TA and repetition can be updated using L1 signalling after a PUR configuration.</w:t>
      </w:r>
    </w:p>
    <w:p w14:paraId="39065F89" w14:textId="77777777" w:rsidR="000C5AA4" w:rsidRDefault="000C5AA4" w:rsidP="000C5AA4">
      <w:pPr>
        <w:rPr>
          <w:b/>
          <w:lang w:val="en-US"/>
        </w:rPr>
      </w:pPr>
    </w:p>
    <w:p w14:paraId="448BE2E3" w14:textId="308D88F9" w:rsidR="000C5AA4" w:rsidRDefault="000C5AA4" w:rsidP="000C5AA4">
      <w:pPr>
        <w:rPr>
          <w:lang w:val="en-US"/>
        </w:rPr>
      </w:pPr>
      <w:r>
        <w:rPr>
          <w:lang w:val="en-US"/>
        </w:rPr>
        <w:t>The L1 signalling can use the L1 ACK, i.e. a DCI after the PUR transmission, where the MPDCCH carrying this DCI is monitored during the agreed time period after the PUR transmission.  This time period can start 4 subframes after the PUR transmission, following the legacy timeline for HARQ feedback.</w:t>
      </w:r>
    </w:p>
    <w:p w14:paraId="6967862C" w14:textId="367B80A1" w:rsidR="000C5AA4" w:rsidRPr="000C5AA4" w:rsidRDefault="000C5AA4" w:rsidP="000C5AA4">
      <w:pPr>
        <w:rPr>
          <w:b/>
          <w:lang w:val="en-US"/>
        </w:rPr>
      </w:pPr>
      <w:r w:rsidRPr="000C5AA4">
        <w:rPr>
          <w:b/>
          <w:lang w:val="en-US"/>
        </w:rPr>
        <w:t xml:space="preserve">Proposal 3: The TA and repetition updates are signaled in the DCI carrying the HARQ-ACK after the PUR transmission.  </w:t>
      </w:r>
    </w:p>
    <w:p w14:paraId="09CC9F17" w14:textId="6A3E0D20" w:rsidR="000C5AA4" w:rsidRPr="000C5AA4" w:rsidRDefault="000C5AA4" w:rsidP="000C5AA4">
      <w:pPr>
        <w:rPr>
          <w:b/>
          <w:lang w:val="en-US"/>
        </w:rPr>
      </w:pPr>
      <w:r w:rsidRPr="000C5AA4">
        <w:rPr>
          <w:b/>
          <w:lang w:val="en-US"/>
        </w:rPr>
        <w:t>Proposal 4: The UE monitors the MPDCCH for the HARQ-ACK and possible parameter updates in a time period where this time period starts 4 subframes after the end of the PUR transmission.</w:t>
      </w:r>
    </w:p>
    <w:p w14:paraId="3B0281E5" w14:textId="77777777" w:rsidR="000C5AA4" w:rsidRDefault="000C5AA4" w:rsidP="000C5AA4">
      <w:pPr>
        <w:rPr>
          <w:lang w:val="en-US"/>
        </w:rPr>
      </w:pPr>
    </w:p>
    <w:p w14:paraId="151919AC" w14:textId="77777777" w:rsidR="000C5AA4" w:rsidRDefault="000C5AA4" w:rsidP="000C5AA4">
      <w:pPr>
        <w:rPr>
          <w:lang w:val="en-US"/>
        </w:rPr>
      </w:pPr>
    </w:p>
    <w:p w14:paraId="7EFA9BC3" w14:textId="0A1BF3B8" w:rsidR="000C5AA4" w:rsidRDefault="000C5AA4" w:rsidP="000C5AA4">
      <w:pPr>
        <w:pStyle w:val="Heading2"/>
        <w:numPr>
          <w:ilvl w:val="1"/>
          <w:numId w:val="5"/>
        </w:numPr>
        <w:rPr>
          <w:lang w:val="en-US"/>
        </w:rPr>
      </w:pPr>
      <w:r>
        <w:rPr>
          <w:lang w:val="en-US"/>
        </w:rPr>
        <w:t>PUR Configuration Request</w:t>
      </w:r>
    </w:p>
    <w:p w14:paraId="78FB604A" w14:textId="1CDDF896" w:rsidR="000C5AA4" w:rsidRDefault="00657EE9" w:rsidP="000C5AA4">
      <w:pPr>
        <w:rPr>
          <w:lang w:val="en-US"/>
        </w:rPr>
      </w:pPr>
      <w:r>
        <w:rPr>
          <w:lang w:val="en-US"/>
        </w:rPr>
        <w:t>PUR</w:t>
      </w:r>
      <w:r w:rsidR="000C5AA4">
        <w:rPr>
          <w:lang w:val="en-US"/>
        </w:rPr>
        <w:t xml:space="preserve"> parameters such as the time resource, frequency resource &amp; MCS/TBS are configured based on the UE’s service &amp; traffic pattern, e.g. an MTC device that reports temperature every 20 minutes.  We should allow the MTC service and hence traffic pattern to change, for example an MTC device can change from reporting temperature every 20 minutes to every 5 minutes if say the temperature exceeds a threshold.  Hence, we should design the PUR such that these parameters can change during the PUR operation in idle mode.</w:t>
      </w:r>
    </w:p>
    <w:p w14:paraId="5EA9FC07" w14:textId="44B700E8" w:rsidR="000C5AA4" w:rsidRPr="002A006C" w:rsidRDefault="000C5AA4" w:rsidP="000C5AA4">
      <w:pPr>
        <w:rPr>
          <w:b/>
          <w:lang w:val="en-US"/>
        </w:rPr>
      </w:pPr>
      <w:r>
        <w:rPr>
          <w:b/>
          <w:lang w:val="en-US"/>
        </w:rPr>
        <w:t xml:space="preserve">Proposal </w:t>
      </w:r>
      <w:r w:rsidR="00657EE9">
        <w:rPr>
          <w:b/>
          <w:lang w:val="en-US"/>
        </w:rPr>
        <w:t>5</w:t>
      </w:r>
      <w:r>
        <w:rPr>
          <w:b/>
          <w:lang w:val="en-US"/>
        </w:rPr>
        <w:t>: In idle mode, the time resource (e.g. periodicity), frequency resource and MCS/TBS may be updated after a PUR transmission.</w:t>
      </w:r>
      <w:r w:rsidR="00657EE9">
        <w:rPr>
          <w:b/>
          <w:lang w:val="en-US"/>
        </w:rPr>
        <w:t xml:space="preserve">  </w:t>
      </w:r>
    </w:p>
    <w:p w14:paraId="3A369034" w14:textId="77777777" w:rsidR="000C5AA4" w:rsidRDefault="000C5AA4" w:rsidP="000C5AA4">
      <w:pPr>
        <w:rPr>
          <w:lang w:val="en-US"/>
        </w:rPr>
      </w:pPr>
    </w:p>
    <w:p w14:paraId="5A46F7CD" w14:textId="1C64C015" w:rsidR="000C5AA4" w:rsidRDefault="000C5AA4" w:rsidP="000C5AA4">
      <w:pPr>
        <w:rPr>
          <w:rFonts w:eastAsia="MS Mincho"/>
          <w:lang w:val="en-US"/>
        </w:rPr>
      </w:pPr>
      <w:r>
        <w:rPr>
          <w:rFonts w:eastAsia="MS Mincho"/>
          <w:lang w:val="en-US"/>
        </w:rPr>
        <w:t xml:space="preserve">The change in Timing Advance, UE Tx Power and Repetition are dependent upon changes to the UE radio condition, which can be managed by the eNB.  However, parameters such as the periodicity and MCS/TBS are dependent upon the UE’s service and traffic pattern which are managed by the UE.  Hence, it make sense for the UE to request a change of parameters.  Such a request can be made using the PUR itself or via EDT.  The eNB can update the PUR parameters, i.e. re-configuration, either in HARQ-ACK feedback </w:t>
      </w:r>
      <w:r w:rsidR="00565876">
        <w:rPr>
          <w:rFonts w:eastAsia="MS Mincho"/>
          <w:lang w:val="en-US"/>
        </w:rPr>
        <w:t xml:space="preserve">(if PUR is used) </w:t>
      </w:r>
      <w:r>
        <w:rPr>
          <w:rFonts w:eastAsia="MS Mincho"/>
          <w:lang w:val="en-US"/>
        </w:rPr>
        <w:t>or Msg4</w:t>
      </w:r>
      <w:r w:rsidR="00565876">
        <w:rPr>
          <w:rFonts w:eastAsia="MS Mincho"/>
          <w:lang w:val="en-US"/>
        </w:rPr>
        <w:t xml:space="preserve"> (if EDT is used)</w:t>
      </w:r>
      <w:r>
        <w:rPr>
          <w:rFonts w:eastAsia="MS Mincho"/>
          <w:lang w:val="en-US"/>
        </w:rPr>
        <w:t>.</w:t>
      </w:r>
    </w:p>
    <w:p w14:paraId="6F9D564D" w14:textId="57BF366A" w:rsidR="000C5AA4" w:rsidRPr="00270216" w:rsidRDefault="000C5AA4" w:rsidP="000C5AA4">
      <w:pPr>
        <w:rPr>
          <w:rFonts w:eastAsia="MS Mincho"/>
          <w:b/>
          <w:lang w:val="en-US"/>
        </w:rPr>
      </w:pPr>
      <w:bookmarkStart w:id="3" w:name="_GoBack"/>
      <w:r>
        <w:rPr>
          <w:rFonts w:eastAsia="MS Mincho"/>
          <w:b/>
          <w:lang w:val="en-US"/>
        </w:rPr>
        <w:t xml:space="preserve">Proposal </w:t>
      </w:r>
      <w:r w:rsidR="00657EE9">
        <w:rPr>
          <w:rFonts w:eastAsia="MS Mincho"/>
          <w:b/>
          <w:lang w:val="en-US"/>
        </w:rPr>
        <w:t>6</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0204B838" w14:textId="53BF46CC" w:rsidR="000C5AA4" w:rsidRDefault="000C5AA4" w:rsidP="000C5AA4">
      <w:pPr>
        <w:rPr>
          <w:rFonts w:eastAsia="MS Mincho"/>
          <w:lang w:val="en-US"/>
        </w:rPr>
      </w:pPr>
      <w:r>
        <w:rPr>
          <w:rFonts w:eastAsia="MS Mincho"/>
          <w:b/>
          <w:lang w:val="en-US"/>
        </w:rPr>
        <w:t xml:space="preserve">Proposal </w:t>
      </w:r>
      <w:r w:rsidR="00657EE9">
        <w:rPr>
          <w:rFonts w:eastAsia="MS Mincho"/>
          <w:b/>
          <w:lang w:val="en-US"/>
        </w:rPr>
        <w:t>7</w:t>
      </w:r>
      <w:r w:rsidRPr="00270216">
        <w:rPr>
          <w:rFonts w:eastAsia="MS Mincho"/>
          <w:b/>
          <w:lang w:val="en-US"/>
        </w:rPr>
        <w:t xml:space="preserve">: </w:t>
      </w:r>
      <w:r>
        <w:rPr>
          <w:rFonts w:eastAsia="MS Mincho"/>
          <w:b/>
          <w:lang w:val="en-US"/>
        </w:rPr>
        <w:t xml:space="preserve">The </w:t>
      </w:r>
      <w:r w:rsidRPr="00270216">
        <w:rPr>
          <w:rFonts w:eastAsia="MS Mincho"/>
          <w:b/>
          <w:lang w:val="en-US"/>
        </w:rPr>
        <w:t xml:space="preserve">PUR </w:t>
      </w:r>
      <w:r>
        <w:rPr>
          <w:rFonts w:eastAsia="MS Mincho"/>
          <w:b/>
          <w:lang w:val="en-US"/>
        </w:rPr>
        <w:t xml:space="preserve">parameters </w:t>
      </w:r>
      <w:r w:rsidRPr="00270216">
        <w:rPr>
          <w:rFonts w:eastAsia="MS Mincho"/>
          <w:b/>
          <w:lang w:val="en-US"/>
        </w:rPr>
        <w:t xml:space="preserve">re-configuration </w:t>
      </w:r>
      <w:r w:rsidR="00565876">
        <w:rPr>
          <w:rFonts w:eastAsia="MS Mincho"/>
          <w:b/>
          <w:lang w:val="en-US"/>
        </w:rPr>
        <w:t>can be</w:t>
      </w:r>
      <w:r w:rsidRPr="00270216">
        <w:rPr>
          <w:rFonts w:eastAsia="MS Mincho"/>
          <w:b/>
          <w:lang w:val="en-US"/>
        </w:rPr>
        <w:t xml:space="preserve"> signaled via HARQ-ACK feedback</w:t>
      </w:r>
      <w:r>
        <w:rPr>
          <w:rFonts w:eastAsia="MS Mincho"/>
          <w:b/>
          <w:lang w:val="en-US"/>
        </w:rPr>
        <w:t xml:space="preserve"> or Msg4</w:t>
      </w:r>
      <w:r w:rsidRPr="00270216">
        <w:rPr>
          <w:rFonts w:eastAsia="MS Mincho"/>
          <w:b/>
          <w:lang w:val="en-US"/>
        </w:rPr>
        <w:t>.</w:t>
      </w:r>
    </w:p>
    <w:bookmarkEnd w:id="3"/>
    <w:p w14:paraId="698A63C8" w14:textId="77777777" w:rsidR="000C5AA4" w:rsidRPr="000C5AA4" w:rsidRDefault="000C5AA4" w:rsidP="000C5AA4">
      <w:pPr>
        <w:rPr>
          <w:lang w:val="en-US"/>
        </w:rPr>
      </w:pPr>
    </w:p>
    <w:p w14:paraId="052DBC2D"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10250698" w14:textId="51934CF1" w:rsidR="0088003C" w:rsidRDefault="00855F39" w:rsidP="0088003C">
      <w:r>
        <w:t xml:space="preserve">In this contribution we discuss </w:t>
      </w:r>
      <w:r w:rsidR="00AD4CD8">
        <w:t xml:space="preserve">some remaining aspects </w:t>
      </w:r>
      <w:r w:rsidR="00657EE9">
        <w:t>on PUR</w:t>
      </w:r>
      <w:r w:rsidR="00AD4CD8">
        <w:t>.  We observe the following:</w:t>
      </w:r>
    </w:p>
    <w:p w14:paraId="6E366458" w14:textId="77777777" w:rsidR="00565876" w:rsidRPr="00E6545D" w:rsidRDefault="00565876" w:rsidP="00565876">
      <w:pPr>
        <w:rPr>
          <w:b/>
          <w:lang w:val="en-US"/>
        </w:rPr>
      </w:pPr>
      <w:r w:rsidRPr="00E6545D">
        <w:rPr>
          <w:b/>
          <w:lang w:val="en-US"/>
        </w:rPr>
        <w:t xml:space="preserve">Observation 1: For validating TA by comparing the serving cell RSRP changes </w:t>
      </w:r>
      <w:r w:rsidRPr="00E6545D">
        <w:rPr>
          <w:b/>
          <w:i/>
          <w:lang w:val="en-US"/>
        </w:rPr>
        <w:sym w:font="Symbol" w:char="F044"/>
      </w:r>
      <w:r w:rsidRPr="00E6545D">
        <w:rPr>
          <w:b/>
          <w:i/>
          <w:lang w:val="en-US"/>
        </w:rPr>
        <w:t>RSRP</w:t>
      </w:r>
      <w:r w:rsidRPr="00E6545D">
        <w:rPr>
          <w:b/>
          <w:lang w:val="en-US"/>
        </w:rPr>
        <w:t xml:space="preserve"> against a threshold </w:t>
      </w:r>
      <w:r w:rsidRPr="00E6545D">
        <w:rPr>
          <w:b/>
          <w:i/>
          <w:lang w:val="en-US"/>
        </w:rPr>
        <w:t>T</w:t>
      </w:r>
      <w:r w:rsidRPr="00E6545D">
        <w:rPr>
          <w:b/>
          <w:i/>
          <w:vertAlign w:val="subscript"/>
          <w:lang w:val="en-US"/>
        </w:rPr>
        <w:t>RSRP</w:t>
      </w:r>
      <w:r w:rsidRPr="00E6545D">
        <w:rPr>
          <w:b/>
          <w:lang w:val="en-US"/>
        </w:rPr>
        <w:t>, the threshold is dynamic and dependent upon the absolute RSRP and the direction of travel of the UE.</w:t>
      </w:r>
    </w:p>
    <w:p w14:paraId="0654A187" w14:textId="77777777" w:rsidR="009D7CB0" w:rsidRDefault="009D7CB0" w:rsidP="00855F39"/>
    <w:p w14:paraId="2187BC09" w14:textId="77777777" w:rsidR="00160371" w:rsidRDefault="00160371" w:rsidP="00855F39">
      <w:r>
        <w:t>We therefore propose the following:</w:t>
      </w:r>
    </w:p>
    <w:p w14:paraId="4A5EB6A2" w14:textId="77777777" w:rsidR="00565876" w:rsidRPr="00D473F5" w:rsidRDefault="00565876" w:rsidP="00565876">
      <w:pPr>
        <w:rPr>
          <w:b/>
          <w:lang w:val="en-US"/>
        </w:rPr>
      </w:pPr>
      <w:r w:rsidRPr="00D473F5">
        <w:rPr>
          <w:b/>
          <w:lang w:val="en-US"/>
        </w:rPr>
        <w:t>Proposal 1: The criteri</w:t>
      </w:r>
      <w:r>
        <w:rPr>
          <w:b/>
          <w:lang w:val="en-US"/>
        </w:rPr>
        <w:t>on</w:t>
      </w:r>
      <w:r w:rsidRPr="00D473F5">
        <w:rPr>
          <w:b/>
          <w:lang w:val="en-US"/>
        </w:rPr>
        <w:t xml:space="preserve"> for validating TA using servi</w:t>
      </w:r>
      <w:r>
        <w:rPr>
          <w:b/>
          <w:lang w:val="en-US"/>
        </w:rPr>
        <w:t>ng</w:t>
      </w:r>
      <w:r w:rsidRPr="00D473F5">
        <w:rPr>
          <w:b/>
          <w:lang w:val="en-US"/>
        </w:rPr>
        <w:t xml:space="preserve"> cell RSRP change </w:t>
      </w:r>
      <w:r w:rsidRPr="00D473F5">
        <w:rPr>
          <w:b/>
          <w:i/>
          <w:lang w:val="en-US"/>
        </w:rPr>
        <w:sym w:font="Symbol" w:char="F044"/>
      </w:r>
      <w:r w:rsidRPr="00D473F5">
        <w:rPr>
          <w:b/>
          <w:i/>
          <w:lang w:val="en-US"/>
        </w:rPr>
        <w:t>RSRP</w:t>
      </w:r>
      <w:r w:rsidRPr="00D473F5">
        <w:rPr>
          <w:b/>
          <w:lang w:val="en-US"/>
        </w:rPr>
        <w:t xml:space="preserve"> is:</w:t>
      </w:r>
    </w:p>
    <w:p w14:paraId="2E9138FF" w14:textId="77777777" w:rsidR="00565876" w:rsidRPr="00D473F5" w:rsidRDefault="00565876" w:rsidP="00565876">
      <w:pPr>
        <w:jc w:val="center"/>
        <w:rPr>
          <w:b/>
          <w:lang w:val="en-US"/>
        </w:rPr>
      </w:pPr>
      <w:r w:rsidRPr="00D473F5">
        <w:rPr>
          <w:rFonts w:eastAsia="MS Mincho"/>
          <w:b/>
          <w:i/>
          <w:lang w:val="en-US"/>
        </w:rPr>
        <w:t>T</w:t>
      </w:r>
      <w:r w:rsidRPr="00D473F5">
        <w:rPr>
          <w:rFonts w:eastAsia="MS Mincho"/>
          <w:b/>
          <w:i/>
          <w:vertAlign w:val="subscript"/>
          <w:lang w:val="en-US"/>
        </w:rPr>
        <w:t>-ve_RSRP</w:t>
      </w:r>
      <w:r w:rsidRPr="00D473F5">
        <w:rPr>
          <w:rFonts w:eastAsia="MS Mincho"/>
          <w:b/>
          <w:lang w:val="en-US"/>
        </w:rPr>
        <w:t xml:space="preserve"> ≤ </w:t>
      </w:r>
      <w:r w:rsidRPr="00D473F5">
        <w:rPr>
          <w:b/>
          <w:i/>
          <w:lang w:val="en-US"/>
        </w:rPr>
        <w:sym w:font="Symbol" w:char="F044"/>
      </w:r>
      <w:r w:rsidRPr="00D473F5">
        <w:rPr>
          <w:b/>
          <w:i/>
          <w:lang w:val="en-US"/>
        </w:rPr>
        <w:t>RSRP</w:t>
      </w:r>
      <w:r w:rsidRPr="00D473F5">
        <w:rPr>
          <w:b/>
          <w:lang w:val="en-US"/>
        </w:rPr>
        <w:t xml:space="preserve"> </w:t>
      </w:r>
      <w:r w:rsidRPr="00D473F5">
        <w:rPr>
          <w:rFonts w:eastAsia="MS Mincho"/>
          <w:b/>
          <w:lang w:val="en-US"/>
        </w:rPr>
        <w:t xml:space="preserve">≤ </w:t>
      </w:r>
      <w:r w:rsidRPr="00D473F5">
        <w:rPr>
          <w:rFonts w:eastAsia="MS Mincho"/>
          <w:b/>
          <w:i/>
          <w:lang w:val="en-US"/>
        </w:rPr>
        <w:t>T</w:t>
      </w:r>
      <w:r w:rsidRPr="00D473F5">
        <w:rPr>
          <w:rFonts w:eastAsia="MS Mincho"/>
          <w:b/>
          <w:i/>
          <w:vertAlign w:val="subscript"/>
          <w:lang w:val="en-US"/>
        </w:rPr>
        <w:t>+ve_RSRP</w:t>
      </w:r>
    </w:p>
    <w:p w14:paraId="144467CE" w14:textId="77777777" w:rsidR="00565876" w:rsidRPr="00D473F5" w:rsidRDefault="00565876" w:rsidP="00565876">
      <w:pPr>
        <w:pStyle w:val="ListParagraph"/>
        <w:numPr>
          <w:ilvl w:val="0"/>
          <w:numId w:val="16"/>
        </w:numPr>
        <w:rPr>
          <w:b/>
          <w:lang w:val="en-US"/>
        </w:rPr>
      </w:pPr>
      <w:r w:rsidRPr="00D473F5">
        <w:rPr>
          <w:b/>
          <w:lang w:val="en-US"/>
        </w:rPr>
        <w:t>Where:</w:t>
      </w:r>
    </w:p>
    <w:p w14:paraId="1F4F0329" w14:textId="77777777" w:rsidR="00565876" w:rsidRPr="00D473F5" w:rsidRDefault="00565876" w:rsidP="00565876">
      <w:pPr>
        <w:pStyle w:val="ListParagraph"/>
        <w:numPr>
          <w:ilvl w:val="1"/>
          <w:numId w:val="16"/>
        </w:numPr>
        <w:rPr>
          <w:b/>
          <w:lang w:val="en-US"/>
        </w:rPr>
      </w:pPr>
      <w:r w:rsidRPr="00D473F5">
        <w:rPr>
          <w:b/>
          <w:i/>
          <w:lang w:val="en-US"/>
        </w:rPr>
        <w:sym w:font="Symbol" w:char="F044"/>
      </w:r>
      <w:r w:rsidRPr="00D473F5">
        <w:rPr>
          <w:b/>
          <w:i/>
          <w:lang w:val="en-US"/>
        </w:rPr>
        <w:t>RSRP</w:t>
      </w:r>
      <w:r w:rsidRPr="00D473F5">
        <w:rPr>
          <w:b/>
          <w:lang w:val="en-US"/>
        </w:rPr>
        <w:t xml:space="preserve"> = </w:t>
      </w:r>
      <w:r w:rsidRPr="00D473F5">
        <w:rPr>
          <w:b/>
          <w:i/>
          <w:lang w:val="en-US"/>
        </w:rPr>
        <w:t>RSRP</w:t>
      </w:r>
      <w:r w:rsidRPr="00D473F5">
        <w:rPr>
          <w:b/>
          <w:i/>
          <w:vertAlign w:val="subscript"/>
          <w:lang w:val="en-US"/>
        </w:rPr>
        <w:t>TA</w:t>
      </w:r>
      <w:r w:rsidRPr="00D473F5">
        <w:rPr>
          <w:b/>
          <w:lang w:val="en-US"/>
        </w:rPr>
        <w:t xml:space="preserve"> – </w:t>
      </w:r>
      <w:r w:rsidRPr="00D473F5">
        <w:rPr>
          <w:b/>
          <w:i/>
          <w:lang w:val="en-US"/>
        </w:rPr>
        <w:t>RSRP</w:t>
      </w:r>
      <w:r w:rsidRPr="00D473F5">
        <w:rPr>
          <w:b/>
          <w:i/>
          <w:vertAlign w:val="subscript"/>
          <w:lang w:val="en-US"/>
        </w:rPr>
        <w:t>Evaluate</w:t>
      </w:r>
    </w:p>
    <w:p w14:paraId="3538EDA6" w14:textId="77777777" w:rsidR="00565876" w:rsidRPr="00D473F5" w:rsidRDefault="00565876" w:rsidP="00565876">
      <w:pPr>
        <w:pStyle w:val="ListParagraph"/>
        <w:numPr>
          <w:ilvl w:val="2"/>
          <w:numId w:val="16"/>
        </w:numPr>
        <w:rPr>
          <w:b/>
          <w:lang w:val="en-US"/>
        </w:rPr>
      </w:pPr>
      <w:r w:rsidRPr="00D473F5">
        <w:rPr>
          <w:b/>
          <w:i/>
          <w:lang w:val="en-US"/>
        </w:rPr>
        <w:t>RSRP</w:t>
      </w:r>
      <w:r w:rsidRPr="00D473F5">
        <w:rPr>
          <w:b/>
          <w:i/>
          <w:vertAlign w:val="subscript"/>
          <w:lang w:val="en-US"/>
        </w:rPr>
        <w:t>TA</w:t>
      </w:r>
      <w:r w:rsidRPr="00D473F5">
        <w:rPr>
          <w:b/>
          <w:i/>
          <w:lang w:val="en-US"/>
        </w:rPr>
        <w:t xml:space="preserve"> </w:t>
      </w:r>
      <w:r w:rsidRPr="00D473F5">
        <w:rPr>
          <w:b/>
          <w:lang w:val="en-US"/>
        </w:rPr>
        <w:t>is the RSRP measured when the TA is obtained</w:t>
      </w:r>
    </w:p>
    <w:p w14:paraId="6401C428" w14:textId="77777777" w:rsidR="00565876" w:rsidRPr="00D473F5" w:rsidRDefault="00565876" w:rsidP="00565876">
      <w:pPr>
        <w:pStyle w:val="ListParagraph"/>
        <w:numPr>
          <w:ilvl w:val="2"/>
          <w:numId w:val="16"/>
        </w:numPr>
        <w:rPr>
          <w:b/>
          <w:lang w:val="en-US"/>
        </w:rPr>
      </w:pPr>
      <w:r w:rsidRPr="00D473F5">
        <w:rPr>
          <w:b/>
          <w:i/>
          <w:lang w:val="en-US"/>
        </w:rPr>
        <w:t>RSRP</w:t>
      </w:r>
      <w:r w:rsidRPr="00D473F5">
        <w:rPr>
          <w:b/>
          <w:i/>
          <w:vertAlign w:val="subscript"/>
          <w:lang w:val="en-US"/>
        </w:rPr>
        <w:t>Evaluate</w:t>
      </w:r>
      <w:r w:rsidRPr="00D473F5">
        <w:rPr>
          <w:b/>
          <w:lang w:val="en-US"/>
        </w:rPr>
        <w:t xml:space="preserve"> is the RSRP measured when the TA is evaluated</w:t>
      </w:r>
    </w:p>
    <w:p w14:paraId="32CF1DFB" w14:textId="77777777" w:rsidR="00565876" w:rsidRPr="00D473F5" w:rsidRDefault="00565876" w:rsidP="00565876">
      <w:pPr>
        <w:pStyle w:val="ListParagraph"/>
        <w:numPr>
          <w:ilvl w:val="1"/>
          <w:numId w:val="16"/>
        </w:numPr>
        <w:rPr>
          <w:b/>
          <w:lang w:val="en-US"/>
        </w:rPr>
      </w:pPr>
      <w:r w:rsidRPr="00D473F5">
        <w:rPr>
          <w:rFonts w:eastAsia="MS Mincho"/>
          <w:b/>
          <w:i/>
          <w:lang w:val="en-US"/>
        </w:rPr>
        <w:t>T</w:t>
      </w:r>
      <w:r w:rsidRPr="00D473F5">
        <w:rPr>
          <w:rFonts w:eastAsia="MS Mincho"/>
          <w:b/>
          <w:i/>
          <w:vertAlign w:val="subscript"/>
          <w:lang w:val="en-US"/>
        </w:rPr>
        <w:t>-ve_RSRP</w:t>
      </w:r>
      <w:r w:rsidRPr="00D473F5">
        <w:rPr>
          <w:b/>
          <w:lang w:val="en-US"/>
        </w:rPr>
        <w:t xml:space="preserve"> and </w:t>
      </w:r>
      <w:r w:rsidRPr="00D473F5">
        <w:rPr>
          <w:rFonts w:eastAsia="MS Mincho"/>
          <w:b/>
          <w:i/>
          <w:lang w:val="en-US"/>
        </w:rPr>
        <w:t>T</w:t>
      </w:r>
      <w:r w:rsidRPr="00D473F5">
        <w:rPr>
          <w:rFonts w:eastAsia="MS Mincho"/>
          <w:b/>
          <w:i/>
          <w:vertAlign w:val="subscript"/>
          <w:lang w:val="en-US"/>
        </w:rPr>
        <w:t>+ve_RSRP</w:t>
      </w:r>
      <w:r w:rsidRPr="00D473F5">
        <w:rPr>
          <w:rFonts w:eastAsia="MS Mincho"/>
          <w:b/>
          <w:lang w:val="en-US"/>
        </w:rPr>
        <w:t xml:space="preserve"> are determined from a lookup table using </w:t>
      </w:r>
      <w:r w:rsidRPr="00D473F5">
        <w:rPr>
          <w:b/>
          <w:i/>
          <w:lang w:val="en-US"/>
        </w:rPr>
        <w:t>RSRP</w:t>
      </w:r>
      <w:r w:rsidRPr="00D473F5">
        <w:rPr>
          <w:b/>
          <w:i/>
          <w:vertAlign w:val="subscript"/>
          <w:lang w:val="en-US"/>
        </w:rPr>
        <w:t>Evaluate</w:t>
      </w:r>
      <w:r w:rsidRPr="00D473F5">
        <w:rPr>
          <w:b/>
          <w:lang w:val="en-US"/>
        </w:rPr>
        <w:t xml:space="preserve"> as an input</w:t>
      </w:r>
    </w:p>
    <w:p w14:paraId="4DAC5AA7" w14:textId="77777777" w:rsidR="00565876" w:rsidRPr="00565876" w:rsidRDefault="00565876" w:rsidP="00565876">
      <w:pPr>
        <w:rPr>
          <w:b/>
          <w:lang w:val="en-US"/>
        </w:rPr>
      </w:pPr>
    </w:p>
    <w:p w14:paraId="433D511B" w14:textId="77777777" w:rsidR="00565876" w:rsidRPr="00565876" w:rsidRDefault="00565876" w:rsidP="00565876">
      <w:pPr>
        <w:rPr>
          <w:b/>
          <w:lang w:val="en-US"/>
        </w:rPr>
      </w:pPr>
      <w:r w:rsidRPr="00565876">
        <w:rPr>
          <w:b/>
          <w:lang w:val="en-US"/>
        </w:rPr>
        <w:t>Proposal 2: In idle mode, at least the TA and repetition can be updated using L1 signalling after a PUR configuration.</w:t>
      </w:r>
    </w:p>
    <w:p w14:paraId="74E721DC" w14:textId="77777777" w:rsidR="00565876" w:rsidRPr="000C5AA4" w:rsidRDefault="00565876" w:rsidP="00565876">
      <w:pPr>
        <w:rPr>
          <w:b/>
          <w:lang w:val="en-US"/>
        </w:rPr>
      </w:pPr>
      <w:r w:rsidRPr="000C5AA4">
        <w:rPr>
          <w:b/>
          <w:lang w:val="en-US"/>
        </w:rPr>
        <w:t xml:space="preserve">Proposal 3: The TA and repetition updates are signaled in the DCI carrying the HARQ-ACK after the PUR transmission.  </w:t>
      </w:r>
    </w:p>
    <w:p w14:paraId="620AF9FE" w14:textId="77777777" w:rsidR="00565876" w:rsidRPr="000C5AA4" w:rsidRDefault="00565876" w:rsidP="00565876">
      <w:pPr>
        <w:rPr>
          <w:b/>
          <w:lang w:val="en-US"/>
        </w:rPr>
      </w:pPr>
      <w:r w:rsidRPr="000C5AA4">
        <w:rPr>
          <w:b/>
          <w:lang w:val="en-US"/>
        </w:rPr>
        <w:t>Proposal 4: The UE monitors the MPDCCH for the HARQ-ACK and possible parameter updates in a time period where this time period starts 4 subframes after the end of the PUR transmission.</w:t>
      </w:r>
    </w:p>
    <w:p w14:paraId="2FA56268" w14:textId="77777777" w:rsidR="00565876" w:rsidRPr="002A006C" w:rsidRDefault="00565876" w:rsidP="00565876">
      <w:pPr>
        <w:rPr>
          <w:b/>
          <w:lang w:val="en-US"/>
        </w:rPr>
      </w:pPr>
      <w:r>
        <w:rPr>
          <w:b/>
          <w:lang w:val="en-US"/>
        </w:rPr>
        <w:t xml:space="preserve">Proposal 5: In idle mode, the time resource (e.g. periodicity), frequency resource and MCS/TBS may be updated after a PUR transmission.  </w:t>
      </w:r>
    </w:p>
    <w:p w14:paraId="3FF3C27C" w14:textId="77777777" w:rsidR="00565876" w:rsidRPr="00270216" w:rsidRDefault="00565876" w:rsidP="00565876">
      <w:pPr>
        <w:rPr>
          <w:rFonts w:eastAsia="MS Mincho"/>
          <w:b/>
          <w:lang w:val="en-US"/>
        </w:rPr>
      </w:pPr>
      <w:r>
        <w:rPr>
          <w:rFonts w:eastAsia="MS Mincho"/>
          <w:b/>
          <w:lang w:val="en-US"/>
        </w:rPr>
        <w:t>Proposal 6</w:t>
      </w:r>
      <w:r w:rsidRPr="00270216">
        <w:rPr>
          <w:rFonts w:eastAsia="MS Mincho"/>
          <w:b/>
          <w:lang w:val="en-US"/>
        </w:rPr>
        <w:t xml:space="preserve">: Allow the UE to request for changes to PUR parameters </w:t>
      </w:r>
      <w:r>
        <w:rPr>
          <w:rFonts w:eastAsia="MS Mincho"/>
          <w:b/>
          <w:lang w:val="en-US"/>
        </w:rPr>
        <w:t xml:space="preserve">using PUR transmission or </w:t>
      </w:r>
      <w:r w:rsidRPr="00270216">
        <w:rPr>
          <w:rFonts w:eastAsia="MS Mincho"/>
          <w:b/>
          <w:lang w:val="en-US"/>
        </w:rPr>
        <w:t>via EDT over Msg3.</w:t>
      </w:r>
    </w:p>
    <w:p w14:paraId="0578F0E8" w14:textId="77777777" w:rsidR="00565876" w:rsidRDefault="00565876" w:rsidP="00565876">
      <w:pPr>
        <w:rPr>
          <w:rFonts w:eastAsia="MS Mincho"/>
          <w:lang w:val="en-US"/>
        </w:rPr>
      </w:pPr>
      <w:r>
        <w:rPr>
          <w:rFonts w:eastAsia="MS Mincho"/>
          <w:b/>
          <w:lang w:val="en-US"/>
        </w:rPr>
        <w:t>Proposal 7</w:t>
      </w:r>
      <w:r w:rsidRPr="00270216">
        <w:rPr>
          <w:rFonts w:eastAsia="MS Mincho"/>
          <w:b/>
          <w:lang w:val="en-US"/>
        </w:rPr>
        <w:t xml:space="preserve">: </w:t>
      </w:r>
      <w:r>
        <w:rPr>
          <w:rFonts w:eastAsia="MS Mincho"/>
          <w:b/>
          <w:lang w:val="en-US"/>
        </w:rPr>
        <w:t xml:space="preserve">The </w:t>
      </w:r>
      <w:r w:rsidRPr="00270216">
        <w:rPr>
          <w:rFonts w:eastAsia="MS Mincho"/>
          <w:b/>
          <w:lang w:val="en-US"/>
        </w:rPr>
        <w:t xml:space="preserve">PUR </w:t>
      </w:r>
      <w:r>
        <w:rPr>
          <w:rFonts w:eastAsia="MS Mincho"/>
          <w:b/>
          <w:lang w:val="en-US"/>
        </w:rPr>
        <w:t xml:space="preserve">parameters </w:t>
      </w:r>
      <w:r w:rsidRPr="00270216">
        <w:rPr>
          <w:rFonts w:eastAsia="MS Mincho"/>
          <w:b/>
          <w:lang w:val="en-US"/>
        </w:rPr>
        <w:t xml:space="preserve">re-configuration </w:t>
      </w:r>
      <w:r>
        <w:rPr>
          <w:rFonts w:eastAsia="MS Mincho"/>
          <w:b/>
          <w:lang w:val="en-US"/>
        </w:rPr>
        <w:t>can be</w:t>
      </w:r>
      <w:r w:rsidRPr="00270216">
        <w:rPr>
          <w:rFonts w:eastAsia="MS Mincho"/>
          <w:b/>
          <w:lang w:val="en-US"/>
        </w:rPr>
        <w:t xml:space="preserve"> signaled via HARQ-ACK feedback</w:t>
      </w:r>
      <w:r>
        <w:rPr>
          <w:rFonts w:eastAsia="MS Mincho"/>
          <w:b/>
          <w:lang w:val="en-US"/>
        </w:rPr>
        <w:t xml:space="preserve"> or Msg4</w:t>
      </w:r>
      <w:r w:rsidRPr="00270216">
        <w:rPr>
          <w:rFonts w:eastAsia="MS Mincho"/>
          <w:b/>
          <w:lang w:val="en-US"/>
        </w:rPr>
        <w:t>.</w:t>
      </w:r>
    </w:p>
    <w:p w14:paraId="4EBDEBCB" w14:textId="77777777" w:rsidR="00565876" w:rsidRDefault="00565876" w:rsidP="00565876">
      <w:pPr>
        <w:rPr>
          <w:lang w:val="en-US"/>
        </w:rPr>
      </w:pPr>
    </w:p>
    <w:p w14:paraId="79939F8E" w14:textId="77777777" w:rsidR="00855F39" w:rsidRDefault="00855F39" w:rsidP="00A155A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A0FE139" w14:textId="77777777" w:rsidR="00D01DF3" w:rsidRDefault="00D01DF3" w:rsidP="00D01DF3">
      <w:r>
        <w:t xml:space="preserve">[1] R1-1902192, “Considerations in using PUR,” </w:t>
      </w:r>
      <w:r w:rsidRPr="002B6A9E">
        <w:t>Sony</w:t>
      </w:r>
      <w:r>
        <w:t>, RAN1#96</w:t>
      </w:r>
    </w:p>
    <w:p w14:paraId="0E402452" w14:textId="77777777" w:rsidR="00D01DF3" w:rsidRDefault="00D01DF3" w:rsidP="00D01DF3">
      <w:r>
        <w:t>[2] R1-1901628, “</w:t>
      </w:r>
      <w:r w:rsidRPr="002B6A9E">
        <w:t xml:space="preserve">LTE-M Pre-configured UL </w:t>
      </w:r>
      <w:r>
        <w:t xml:space="preserve">Resources Design Considerations,” </w:t>
      </w:r>
      <w:r w:rsidRPr="002B6A9E">
        <w:t>Sierra Wireless, S.A.</w:t>
      </w:r>
      <w:r>
        <w:t>, RAN1#96</w:t>
      </w:r>
    </w:p>
    <w:p w14:paraId="77986915" w14:textId="480C632B" w:rsidR="000C5AA4" w:rsidRDefault="000C5AA4" w:rsidP="00D01DF3">
      <w:r>
        <w:t xml:space="preserve">[3] </w:t>
      </w:r>
      <w:r w:rsidRPr="000C5AA4">
        <w:t>R1-1904230</w:t>
      </w:r>
      <w:r>
        <w:t>, “</w:t>
      </w:r>
      <w:r w:rsidRPr="000C5AA4">
        <w:t>Considerations in using PUR</w:t>
      </w:r>
      <w:r>
        <w:t>,” Sony, RAN1#96is</w:t>
      </w:r>
    </w:p>
    <w:p w14:paraId="4503FF0B" w14:textId="1C531316" w:rsidR="000A21F1" w:rsidRDefault="000A21F1" w:rsidP="00D01DF3"/>
    <w:sectPr w:rsidR="000A21F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E53C6" w16cid:durableId="2072D9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0E21B" w14:textId="77777777" w:rsidR="00594574" w:rsidRDefault="00594574">
      <w:r>
        <w:separator/>
      </w:r>
    </w:p>
  </w:endnote>
  <w:endnote w:type="continuationSeparator" w:id="0">
    <w:p w14:paraId="402E5B3E" w14:textId="77777777" w:rsidR="00594574" w:rsidRDefault="0059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69BCC" w14:textId="77777777" w:rsidR="00594574" w:rsidRDefault="00594574">
      <w:r>
        <w:separator/>
      </w:r>
    </w:p>
  </w:footnote>
  <w:footnote w:type="continuationSeparator" w:id="0">
    <w:p w14:paraId="584E4A62" w14:textId="77777777" w:rsidR="00594574" w:rsidRDefault="00594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F3A4942"/>
    <w:multiLevelType w:val="hybridMultilevel"/>
    <w:tmpl w:val="74AA2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CD0002"/>
    <w:multiLevelType w:val="multilevel"/>
    <w:tmpl w:val="183C3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549BF"/>
    <w:multiLevelType w:val="hybridMultilevel"/>
    <w:tmpl w:val="EF681C1E"/>
    <w:lvl w:ilvl="0" w:tplc="411679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0"/>
  </w:num>
  <w:num w:numId="6">
    <w:abstractNumId w:val="2"/>
  </w:num>
  <w:num w:numId="7">
    <w:abstractNumId w:val="13"/>
  </w:num>
  <w:num w:numId="8">
    <w:abstractNumId w:val="3"/>
  </w:num>
  <w:num w:numId="9">
    <w:abstractNumId w:val="7"/>
  </w:num>
  <w:num w:numId="10">
    <w:abstractNumId w:val="11"/>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31AA4"/>
    <w:rsid w:val="0004157F"/>
    <w:rsid w:val="00046177"/>
    <w:rsid w:val="00062DA9"/>
    <w:rsid w:val="00083CDE"/>
    <w:rsid w:val="000A21F1"/>
    <w:rsid w:val="000C2901"/>
    <w:rsid w:val="000C5AA4"/>
    <w:rsid w:val="000D13A8"/>
    <w:rsid w:val="000D7B2E"/>
    <w:rsid w:val="000F183A"/>
    <w:rsid w:val="000F2691"/>
    <w:rsid w:val="00106793"/>
    <w:rsid w:val="00116008"/>
    <w:rsid w:val="001318A8"/>
    <w:rsid w:val="0014010F"/>
    <w:rsid w:val="00144192"/>
    <w:rsid w:val="00160371"/>
    <w:rsid w:val="001641D6"/>
    <w:rsid w:val="00173A5A"/>
    <w:rsid w:val="00173B87"/>
    <w:rsid w:val="001C26EE"/>
    <w:rsid w:val="001C3030"/>
    <w:rsid w:val="001C5EBD"/>
    <w:rsid w:val="001D7294"/>
    <w:rsid w:val="001F0A3A"/>
    <w:rsid w:val="001F6D3C"/>
    <w:rsid w:val="00210021"/>
    <w:rsid w:val="002136ED"/>
    <w:rsid w:val="0021781D"/>
    <w:rsid w:val="0022222B"/>
    <w:rsid w:val="0023091B"/>
    <w:rsid w:val="00233CA5"/>
    <w:rsid w:val="00252C04"/>
    <w:rsid w:val="00270216"/>
    <w:rsid w:val="00275802"/>
    <w:rsid w:val="002761EC"/>
    <w:rsid w:val="00280D65"/>
    <w:rsid w:val="00282D22"/>
    <w:rsid w:val="002850B5"/>
    <w:rsid w:val="00293547"/>
    <w:rsid w:val="002A006C"/>
    <w:rsid w:val="002B1D8E"/>
    <w:rsid w:val="002C75C7"/>
    <w:rsid w:val="002D14A6"/>
    <w:rsid w:val="002D4F72"/>
    <w:rsid w:val="002E0D51"/>
    <w:rsid w:val="002F27E9"/>
    <w:rsid w:val="002F3FE4"/>
    <w:rsid w:val="002F7659"/>
    <w:rsid w:val="003162A9"/>
    <w:rsid w:val="003213EE"/>
    <w:rsid w:val="00325336"/>
    <w:rsid w:val="00327383"/>
    <w:rsid w:val="003539C7"/>
    <w:rsid w:val="00356FC8"/>
    <w:rsid w:val="00375C50"/>
    <w:rsid w:val="003A004E"/>
    <w:rsid w:val="003A1646"/>
    <w:rsid w:val="003A7797"/>
    <w:rsid w:val="003C646A"/>
    <w:rsid w:val="003D3533"/>
    <w:rsid w:val="003D4C90"/>
    <w:rsid w:val="003F406D"/>
    <w:rsid w:val="004012D6"/>
    <w:rsid w:val="0041482F"/>
    <w:rsid w:val="00421D52"/>
    <w:rsid w:val="00422EA5"/>
    <w:rsid w:val="00427D9F"/>
    <w:rsid w:val="004313D6"/>
    <w:rsid w:val="004322DD"/>
    <w:rsid w:val="00453952"/>
    <w:rsid w:val="00464932"/>
    <w:rsid w:val="0048341C"/>
    <w:rsid w:val="00484D75"/>
    <w:rsid w:val="0048511E"/>
    <w:rsid w:val="00492A87"/>
    <w:rsid w:val="004A650D"/>
    <w:rsid w:val="004B158E"/>
    <w:rsid w:val="004C25F4"/>
    <w:rsid w:val="004D1FC7"/>
    <w:rsid w:val="004D49B6"/>
    <w:rsid w:val="004D5BF4"/>
    <w:rsid w:val="004E0AC7"/>
    <w:rsid w:val="004F6519"/>
    <w:rsid w:val="00502AA5"/>
    <w:rsid w:val="00503DA1"/>
    <w:rsid w:val="00514ACC"/>
    <w:rsid w:val="005317FD"/>
    <w:rsid w:val="00544758"/>
    <w:rsid w:val="0055725A"/>
    <w:rsid w:val="005654F5"/>
    <w:rsid w:val="00565876"/>
    <w:rsid w:val="005776BC"/>
    <w:rsid w:val="00577F8A"/>
    <w:rsid w:val="005873A3"/>
    <w:rsid w:val="00594574"/>
    <w:rsid w:val="005A3297"/>
    <w:rsid w:val="005C19D9"/>
    <w:rsid w:val="005C70A9"/>
    <w:rsid w:val="005C7515"/>
    <w:rsid w:val="005D6AC5"/>
    <w:rsid w:val="005D729E"/>
    <w:rsid w:val="005F31CF"/>
    <w:rsid w:val="005F5642"/>
    <w:rsid w:val="00643995"/>
    <w:rsid w:val="00643E1D"/>
    <w:rsid w:val="006569B2"/>
    <w:rsid w:val="00657EE9"/>
    <w:rsid w:val="00673015"/>
    <w:rsid w:val="00690E97"/>
    <w:rsid w:val="00694ABB"/>
    <w:rsid w:val="006B39D4"/>
    <w:rsid w:val="006D0EAA"/>
    <w:rsid w:val="006D21BF"/>
    <w:rsid w:val="006D62EB"/>
    <w:rsid w:val="006F502D"/>
    <w:rsid w:val="007172AC"/>
    <w:rsid w:val="007271F6"/>
    <w:rsid w:val="007278F0"/>
    <w:rsid w:val="0073373C"/>
    <w:rsid w:val="00743918"/>
    <w:rsid w:val="00746621"/>
    <w:rsid w:val="00773AC2"/>
    <w:rsid w:val="00782D42"/>
    <w:rsid w:val="00783E56"/>
    <w:rsid w:val="007A008A"/>
    <w:rsid w:val="007A086D"/>
    <w:rsid w:val="007A3FB0"/>
    <w:rsid w:val="007B2533"/>
    <w:rsid w:val="007D07F1"/>
    <w:rsid w:val="007D3E92"/>
    <w:rsid w:val="007D59B0"/>
    <w:rsid w:val="007D7600"/>
    <w:rsid w:val="007F518E"/>
    <w:rsid w:val="00802E59"/>
    <w:rsid w:val="008413E1"/>
    <w:rsid w:val="00842D44"/>
    <w:rsid w:val="00847A26"/>
    <w:rsid w:val="00855F39"/>
    <w:rsid w:val="0088003C"/>
    <w:rsid w:val="00881651"/>
    <w:rsid w:val="008A3145"/>
    <w:rsid w:val="008B589E"/>
    <w:rsid w:val="008D76C0"/>
    <w:rsid w:val="008D7C42"/>
    <w:rsid w:val="008F434A"/>
    <w:rsid w:val="009173D8"/>
    <w:rsid w:val="00924FF2"/>
    <w:rsid w:val="009261FB"/>
    <w:rsid w:val="009336E4"/>
    <w:rsid w:val="0095028A"/>
    <w:rsid w:val="00953616"/>
    <w:rsid w:val="00961354"/>
    <w:rsid w:val="009743CD"/>
    <w:rsid w:val="009779E0"/>
    <w:rsid w:val="0099351A"/>
    <w:rsid w:val="009D4321"/>
    <w:rsid w:val="009D6199"/>
    <w:rsid w:val="009D7CB0"/>
    <w:rsid w:val="009E0604"/>
    <w:rsid w:val="009F432A"/>
    <w:rsid w:val="00A155A6"/>
    <w:rsid w:val="00A2568F"/>
    <w:rsid w:val="00A35D8F"/>
    <w:rsid w:val="00A4293C"/>
    <w:rsid w:val="00A43E4F"/>
    <w:rsid w:val="00A4775E"/>
    <w:rsid w:val="00A57B22"/>
    <w:rsid w:val="00A61CED"/>
    <w:rsid w:val="00A74192"/>
    <w:rsid w:val="00A824A2"/>
    <w:rsid w:val="00A91C99"/>
    <w:rsid w:val="00AA5907"/>
    <w:rsid w:val="00AB4ED7"/>
    <w:rsid w:val="00AD17BB"/>
    <w:rsid w:val="00AD4CD8"/>
    <w:rsid w:val="00AE52A9"/>
    <w:rsid w:val="00AF500B"/>
    <w:rsid w:val="00B132F8"/>
    <w:rsid w:val="00B2782B"/>
    <w:rsid w:val="00B434DA"/>
    <w:rsid w:val="00B4693B"/>
    <w:rsid w:val="00B77116"/>
    <w:rsid w:val="00B910D6"/>
    <w:rsid w:val="00B969BD"/>
    <w:rsid w:val="00BA58BF"/>
    <w:rsid w:val="00BB47FD"/>
    <w:rsid w:val="00C05967"/>
    <w:rsid w:val="00C11C96"/>
    <w:rsid w:val="00C12176"/>
    <w:rsid w:val="00C17CE0"/>
    <w:rsid w:val="00C246F3"/>
    <w:rsid w:val="00C2790E"/>
    <w:rsid w:val="00C27AB9"/>
    <w:rsid w:val="00C50D70"/>
    <w:rsid w:val="00C64143"/>
    <w:rsid w:val="00C74ED5"/>
    <w:rsid w:val="00C85A7B"/>
    <w:rsid w:val="00C8704A"/>
    <w:rsid w:val="00C97D4D"/>
    <w:rsid w:val="00CB2067"/>
    <w:rsid w:val="00CC1C2E"/>
    <w:rsid w:val="00CD5931"/>
    <w:rsid w:val="00CD7322"/>
    <w:rsid w:val="00CE74AD"/>
    <w:rsid w:val="00D01DF3"/>
    <w:rsid w:val="00D05592"/>
    <w:rsid w:val="00D24596"/>
    <w:rsid w:val="00D25F71"/>
    <w:rsid w:val="00D30921"/>
    <w:rsid w:val="00D3258A"/>
    <w:rsid w:val="00D4083B"/>
    <w:rsid w:val="00D45F0D"/>
    <w:rsid w:val="00D550D7"/>
    <w:rsid w:val="00D76319"/>
    <w:rsid w:val="00D969D2"/>
    <w:rsid w:val="00DA2490"/>
    <w:rsid w:val="00DA3481"/>
    <w:rsid w:val="00DA4475"/>
    <w:rsid w:val="00DA7A1C"/>
    <w:rsid w:val="00DB0056"/>
    <w:rsid w:val="00DB3077"/>
    <w:rsid w:val="00DB7CD3"/>
    <w:rsid w:val="00DB7F21"/>
    <w:rsid w:val="00DD077C"/>
    <w:rsid w:val="00DE2090"/>
    <w:rsid w:val="00DE5DA3"/>
    <w:rsid w:val="00DF7A12"/>
    <w:rsid w:val="00E65A15"/>
    <w:rsid w:val="00E7721C"/>
    <w:rsid w:val="00E80AA8"/>
    <w:rsid w:val="00EA40E1"/>
    <w:rsid w:val="00EB7A68"/>
    <w:rsid w:val="00EE5593"/>
    <w:rsid w:val="00EE7F4B"/>
    <w:rsid w:val="00EF2E1D"/>
    <w:rsid w:val="00EF6860"/>
    <w:rsid w:val="00F1792E"/>
    <w:rsid w:val="00F2008C"/>
    <w:rsid w:val="00F27E41"/>
    <w:rsid w:val="00F41322"/>
    <w:rsid w:val="00F42338"/>
    <w:rsid w:val="00F65320"/>
    <w:rsid w:val="00F759EA"/>
    <w:rsid w:val="00F912B3"/>
    <w:rsid w:val="00FA49E4"/>
    <w:rsid w:val="00FA4AE2"/>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1F0A3A"/>
    <w:pPr>
      <w:widowControl w:val="0"/>
      <w:numPr>
        <w:numId w:val="14"/>
      </w:numPr>
      <w:spacing w:after="0"/>
      <w:ind w:hangingChars="200" w:hanging="200"/>
      <w:jc w:val="both"/>
    </w:pPr>
    <w:rPr>
      <w:rFonts w:eastAsia="MS Gothic"/>
      <w:kern w:val="2"/>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42C64-367E-448D-98C3-D25B0A81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36</cp:revision>
  <cp:lastPrinted>2002-04-23T09:10:00Z</cp:lastPrinted>
  <dcterms:created xsi:type="dcterms:W3CDTF">2019-04-01T15:42:00Z</dcterms:created>
  <dcterms:modified xsi:type="dcterms:W3CDTF">2019-05-02T10:47:00Z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